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Times New Roman"/>
          <w:bCs/>
          <w:sz w:val="36"/>
          <w:szCs w:val="36"/>
        </w:rPr>
      </w:pPr>
      <w:r>
        <w:rPr>
          <w:rFonts w:hint="eastAsia" w:ascii="华文中宋" w:hAnsi="华文中宋" w:eastAsia="华文中宋" w:cs="Times New Roman"/>
          <w:bCs/>
          <w:sz w:val="36"/>
          <w:szCs w:val="36"/>
        </w:rPr>
        <w:t>《政府会计制度——行政事业单位会计科目和报表》与《行政单位会计制度》有关衔接问题的</w:t>
      </w:r>
      <w:bookmarkStart w:id="0" w:name="_GoBack"/>
      <w:bookmarkEnd w:id="0"/>
      <w:r>
        <w:rPr>
          <w:rFonts w:hint="eastAsia" w:ascii="华文中宋" w:hAnsi="华文中宋" w:eastAsia="华文中宋" w:cs="Times New Roman"/>
          <w:bCs/>
          <w:sz w:val="36"/>
          <w:szCs w:val="36"/>
        </w:rPr>
        <w:t>处理规定</w:t>
      </w:r>
    </w:p>
    <w:p>
      <w:pPr>
        <w:rPr>
          <w:rFonts w:ascii="Times New Roman" w:hAnsi="Times New Roman" w:eastAsia="仿宋_GB2312" w:cs="Times New Roman"/>
          <w:sz w:val="32"/>
          <w:szCs w:val="32"/>
        </w:rPr>
      </w:pPr>
    </w:p>
    <w:p>
      <w:pPr>
        <w:ind w:firstLine="707" w:firstLineChars="221"/>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我部于</w:t>
      </w:r>
      <w:r>
        <w:rPr>
          <w:rFonts w:ascii="Times New Roman" w:hAnsi="Times New Roman" w:eastAsia="仿宋_GB2312" w:cs="Times New Roman"/>
          <w:sz w:val="32"/>
          <w:szCs w:val="32"/>
        </w:rPr>
        <w:t>2017</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24</w:t>
      </w:r>
      <w:r>
        <w:rPr>
          <w:rFonts w:hint="eastAsia" w:ascii="Times New Roman" w:hAnsi="Times New Roman" w:eastAsia="仿宋_GB2312" w:cs="Times New Roman"/>
          <w:sz w:val="32"/>
          <w:szCs w:val="32"/>
        </w:rPr>
        <w:t>日印发了《政府会计制度——行政事业单位会计科目和报表》（财会〔</w:t>
      </w:r>
      <w:r>
        <w:rPr>
          <w:rFonts w:ascii="Times New Roman" w:hAnsi="Times New Roman" w:eastAsia="仿宋_GB2312" w:cs="Times New Roman"/>
          <w:sz w:val="32"/>
          <w:szCs w:val="32"/>
        </w:rPr>
        <w:t>2017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25号</w:t>
      </w:r>
      <w:r>
        <w:rPr>
          <w:rFonts w:hint="eastAsia" w:ascii="Times New Roman" w:hAnsi="Times New Roman" w:eastAsia="仿宋_GB2312" w:cs="Times New Roman"/>
          <w:sz w:val="32"/>
          <w:szCs w:val="32"/>
        </w:rPr>
        <w:t>，以下简称新制度）。目前执行《行政单位会计制度》（</w:t>
      </w:r>
      <w:r>
        <w:rPr>
          <w:rFonts w:hint="eastAsia" w:ascii="Times New Roman" w:hAnsi="Times New Roman" w:eastAsia="仿宋_GB2312" w:cs="Times New Roman"/>
          <w:kern w:val="0"/>
          <w:sz w:val="32"/>
          <w:szCs w:val="32"/>
        </w:rPr>
        <w:t>财库〔</w:t>
      </w:r>
      <w:r>
        <w:rPr>
          <w:rFonts w:ascii="Times New Roman" w:hAnsi="Times New Roman" w:eastAsia="仿宋_GB2312" w:cs="Times New Roman"/>
          <w:kern w:val="0"/>
          <w:sz w:val="32"/>
          <w:szCs w:val="32"/>
        </w:rPr>
        <w:t>2013</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218</w:t>
      </w:r>
      <w:r>
        <w:rPr>
          <w:rFonts w:hint="eastAsia" w:ascii="Times New Roman" w:hAnsi="Times New Roman" w:eastAsia="仿宋_GB2312" w:cs="Times New Roman"/>
          <w:sz w:val="32"/>
          <w:szCs w:val="32"/>
        </w:rPr>
        <w:t>号，以下简称原制度）的单位，自</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日起执行新制度，不再执行原制度。为了确保新旧会计制度顺利过渡，现对单位执行新制度的有关衔接问题规定如下：</w:t>
      </w:r>
    </w:p>
    <w:p>
      <w:pPr>
        <w:ind w:firstLine="707" w:firstLineChars="221"/>
        <w:rPr>
          <w:rFonts w:ascii="黑体" w:hAnsi="黑体" w:eastAsia="黑体" w:cs="Times New Roman"/>
          <w:bCs/>
          <w:sz w:val="32"/>
          <w:szCs w:val="32"/>
        </w:rPr>
      </w:pPr>
      <w:r>
        <w:rPr>
          <w:rFonts w:hint="eastAsia" w:ascii="黑体" w:hAnsi="黑体" w:eastAsia="黑体" w:cs="Times New Roman"/>
          <w:bCs/>
          <w:sz w:val="32"/>
          <w:szCs w:val="32"/>
        </w:rPr>
        <w:t>一、新旧制度衔接总要求</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（一）自</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年１月１日起，单位应当严格按照新制度的规定进行会计核算、编制财务报表和预算会计报表。</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（二）单位应当按照本规定做好新旧制度衔接的相关工作，主要包括以下几个方面：</w:t>
      </w:r>
    </w:p>
    <w:p>
      <w:pPr>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根据原账编制</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日的科目余额表，并按照本规定要求，编制原账的部分科目余额明细表（见附表</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、附表２）。</w:t>
      </w:r>
    </w:p>
    <w:p>
      <w:pPr>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按照新制度设立</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日的新账。</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按照本规定要求，登记新账的财务会计科目余额和预算结余科目余额，包括将原账科目余额转入新账财务会计科目、按照原账科目余额登记新账预算结余科目（行政单位新旧会计制度转账、登记新账科目对照表见附表</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），将未入账事项登记新账科目，并对相关新账科目余额进行调整。原账科目是指按照原制度规定设置的会计科目。</w:t>
      </w:r>
    </w:p>
    <w:p>
      <w:pPr>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按照登记及调整后新账的各会计科目余额，编制2019年1月1日的科目余额表，作为新账各会计科目的期初余额。</w:t>
      </w:r>
    </w:p>
    <w:p>
      <w:pPr>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根据新账各会计科目期初余额，按照新制度编制</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日资产负债表。</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（三）及时调整会计信息系统。单位应当按照新制度要求对原有会计信息系统进行及时更新和调试，实现数据正确转换，确保新旧账套的有序衔接。</w:t>
      </w:r>
    </w:p>
    <w:p>
      <w:pPr>
        <w:ind w:firstLine="707" w:firstLineChars="221"/>
        <w:rPr>
          <w:rFonts w:ascii="黑体" w:hAnsi="黑体" w:eastAsia="黑体" w:cs="Times New Roman"/>
          <w:bCs/>
          <w:sz w:val="32"/>
          <w:szCs w:val="32"/>
        </w:rPr>
      </w:pPr>
      <w:r>
        <w:rPr>
          <w:rFonts w:hint="eastAsia" w:ascii="黑体" w:hAnsi="黑体" w:eastAsia="黑体" w:cs="Times New Roman"/>
          <w:bCs/>
          <w:sz w:val="32"/>
          <w:szCs w:val="32"/>
        </w:rPr>
        <w:t>二、财务会计科目的新旧衔接</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（一）将</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日原账会计科目余额转入新账财务会计科目</w:t>
      </w:r>
    </w:p>
    <w:p>
      <w:pPr>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资产类</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）“库存现金”、“零余额账户用款额度”、“财政应返还额度”、“应收账款”、“预付账款”、“无形资产”、“公共基础设施”、“政府储备物资”、“受托代理资产”、“待处理财产损溢”科目</w:t>
      </w:r>
    </w:p>
    <w:p>
      <w:pPr>
        <w:autoSpaceDE w:val="0"/>
        <w:autoSpaceDN w:val="0"/>
        <w:adjustRightInd w:val="0"/>
        <w:ind w:firstLine="707" w:firstLineChars="221"/>
        <w:jc w:val="left"/>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新制度设置了“库存现金”、“零余额账户用款额度”、“财政应返还额度”、“应收账款”、“预付账款”、“无形资产”、“公共基础设施”、“政府储备物资”、“受托代理资产”、“待处理财产损溢”</w:t>
      </w:r>
      <w:r>
        <w:rPr>
          <w:rFonts w:hint="eastAsia" w:ascii="Times New Roman" w:hAnsi="Times New Roman" w:eastAsia="仿宋_GB2312" w:cs="Times New Roman"/>
          <w:kern w:val="0"/>
          <w:sz w:val="32"/>
          <w:szCs w:val="32"/>
        </w:rPr>
        <w:t>科目，其核算内容与原账的上述相应科目的核算内容基本相同。转账时，单位应当将原账的上述科目余额直接转入新账的相应科目。其中，还应当将原账的“库存现金”科目余额中属于新制度规定受托代理资产的金额，转入新账“库存现金”科目下的“受托代理资产”明细科目。</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“银行存款”科目</w:t>
      </w:r>
    </w:p>
    <w:p>
      <w:pPr>
        <w:ind w:firstLine="707" w:firstLineChars="221"/>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新制度设置了“银行存款”和“其他货币资金”科目，原制度设置了“银行存款”科目。转账时，单位应当将原账“银行存款”科目中核算的属于新制度规定的其他货币资金的金额，转入新账的“其他货币资金”科目；将原账“银行存款”科目余额减去其中属于其他货币资金金额后的差额，转入新账的“银行存款”科目。其中，还应当将原账“银行存款”科目余额中属于新制度规定受托代理资产的金额，转入新账“银行存款”科目下的“受托代理资产”明细科目。</w:t>
      </w:r>
    </w:p>
    <w:p>
      <w:pPr>
        <w:autoSpaceDE w:val="0"/>
        <w:autoSpaceDN w:val="0"/>
        <w:adjustRightInd w:val="0"/>
        <w:ind w:firstLine="707" w:firstLineChars="221"/>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（3）“其他应收款”科目</w:t>
      </w:r>
    </w:p>
    <w:p>
      <w:pPr>
        <w:ind w:firstLine="707" w:firstLineChars="221"/>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新制度设置了“其他应收款”科目，该科目的核算内容与原账“其他应收款”科目的核算内容基本相同。转账时，单位应当将原账的“其他应收款”科目余额转入新账的“其他应收款”科目。</w:t>
      </w:r>
    </w:p>
    <w:p>
      <w:pPr>
        <w:ind w:firstLine="707" w:firstLineChars="221"/>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新制度设置了“在途物品”科目，单位在原账的“其他应收款”科目中核算了已经付款、尚未收到物资的，应当将原账的“其他应收款”科目余额中已经付款、尚未收到物资的金额，转入新账的“在途物品”科目。</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（4）“存货”科目</w:t>
      </w:r>
    </w:p>
    <w:p>
      <w:pPr>
        <w:ind w:firstLine="707" w:firstLineChars="221"/>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新制度设置了“库存物品”和“加工物品”科目，原制度设置了“存货”科目。转账时，单位应当将原账的“存货——委托加工存货成本”科目余额转入新账的“加工物品”科目；将原账的“存货”科目余额减去属于委托加工存货成本余额后的差额，转入新账的“库存物品”科目。</w:t>
      </w:r>
    </w:p>
    <w:p>
      <w:pPr>
        <w:ind w:firstLine="707" w:firstLineChars="221"/>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单位在原账的“存货”科目中核算了按照新制度规定的政府储备物资的，应当将原账的“存货”科目余额中属于政府储备物资的金额，转入新账的“政府储备物资”科目。</w:t>
      </w:r>
    </w:p>
    <w:p>
      <w:pPr>
        <w:ind w:firstLine="707" w:firstLineChars="221"/>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（5）“固定资产”科目</w:t>
      </w:r>
    </w:p>
    <w:p>
      <w:pPr>
        <w:ind w:firstLine="707" w:firstLineChars="221"/>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新制度设置了“固定资产”、“公共基础设施”、“政府储备物资”、“文物文化资产”、“保障性住房”科目。单位在原账“固定资产”科目中只核算了按照新制度规定的固定资产内容的，转账时，应当将原账的“固定资产”科目余额全部转入新账的“固定资产”科目。单位在原账的“固定资产”科目中核算了按照新制度规定应当记入“公共基础设施”、“政府储备物资”、“文物文化资产”、“保障性住房”科目内容的，转账时，应当将原账的“固定资产”科目余额中相应资产的账面余额，分别转入新账的“公共基础设施”、“政府储备物资”、“文物文化资产”、“保障性住房”科目，并将原账的“固定资产”科目余额减去上述金额后的差额，转入新账的“固定资产”科目。</w:t>
      </w:r>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（6）“累计折旧”科目</w:t>
      </w:r>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新制度设置了“固定资产累计折旧”科目，该科目的核算内容与原账“累计折旧——固定资产累计折旧”科目的核算内容基本相同。单位已经计提了固定资产折旧并记入“累计折旧——固定资产累计折旧”科目的，转账时，应当将原账的“累计折旧——固定资产累计折旧”科目余额，转入新账的“固定资产累计折旧”科目。</w:t>
      </w:r>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新制度设置了“公共基础设施累计折旧（摊销）”科目，该科目的核算内容与原账“累计折旧——公共基础设施累计折旧”科目的核算内容基本相同。单位已经计提了公共基础设施折旧并记入“累计折旧——公共基础设施累计折旧”科目的，转账时，应当将原账的“累计折旧——公共基础设施累计折旧”科目余额，转入新账的“公共基础设施累计折旧（摊销）”科目。</w:t>
      </w:r>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单位在原账的“固定资产”科目中核算了按照新制度规定应当记入“公共基础设施”、“保障性住房”科目的内容，且已经计提了固定资产折旧并记入“累计折旧——固定资产累计折旧”科目的，转账时，应当将原账的“累计折旧——固定资产累计折旧”科目余额中属于公共基础设施累计折旧（摊销）、保障性住房累计折旧的金额，分别转入新账的“公共基础设施累计折旧（摊销）”、“保障性住房累计折旧”科目。</w:t>
      </w:r>
    </w:p>
    <w:p>
      <w:pPr>
        <w:autoSpaceDE w:val="0"/>
        <w:autoSpaceDN w:val="0"/>
        <w:adjustRightInd w:val="0"/>
        <w:ind w:firstLine="707" w:firstLineChars="221"/>
        <w:jc w:val="left"/>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（7）</w:t>
      </w:r>
      <w:r>
        <w:rPr>
          <w:rFonts w:hint="eastAsia" w:ascii="Times New Roman" w:hAnsi="Times New Roman" w:eastAsia="仿宋_GB2312" w:cs="Times New Roman"/>
          <w:sz w:val="32"/>
          <w:szCs w:val="32"/>
        </w:rPr>
        <w:t>“在建工程”科目</w:t>
      </w:r>
    </w:p>
    <w:p>
      <w:pPr>
        <w:ind w:firstLine="707" w:firstLineChars="221"/>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新制度设置了“在建工程”、“工程物资”和“预付账款——预付备料款、预付工程款”科目，原制度设置了“在建工程”科目。转账时，单位应当将原账的“在建工程”科目余额（基建“并账”后的金额，下同）中属于工程物资的金额，转入新账的“工程物资”科目；将原账“在建工程”科目余额中属于预付备料款、预付工程款的金额，转入新账“预付账款”相关明细科目；将原账的“在建工程”科目余额减去工程物资和预付备料款、预付工程款金额后的差额，转入新账的“在建工程”科目。</w:t>
      </w:r>
    </w:p>
    <w:p>
      <w:pPr>
        <w:autoSpaceDE w:val="0"/>
        <w:autoSpaceDN w:val="0"/>
        <w:adjustRightInd w:val="0"/>
        <w:ind w:firstLine="646" w:firstLineChars="202"/>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（8）“累计摊销”科目</w:t>
      </w:r>
    </w:p>
    <w:p>
      <w:pPr>
        <w:ind w:firstLine="42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新制度设置了“无形资产累计摊销”科目，该科目的核算内容与原账“累计摊销”科目的核算内容基本相同。单位已经计提了无形资产摊销的，转账时，应当将原账的“累计摊销”科目余额，转入新账的“无形资产累计摊销”科目。</w:t>
      </w:r>
    </w:p>
    <w:p>
      <w:pPr>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负债类</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）“应缴财政款”、“应付职工薪酬”、“应付政府补贴款”、“其他应付款”、“长期应付款”、“受托代理负债”科目</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新制度设置了“应缴财政款”、“应付职工薪酬”、“应付政府补贴款”、“其他应付款”、“长期应付款”、“受托代理负债”科目，</w:t>
      </w:r>
      <w:r>
        <w:rPr>
          <w:rFonts w:hint="eastAsia" w:ascii="Times New Roman" w:hAnsi="Times New Roman" w:eastAsia="仿宋_GB2312" w:cs="Times New Roman"/>
          <w:kern w:val="0"/>
          <w:sz w:val="32"/>
          <w:szCs w:val="32"/>
        </w:rPr>
        <w:t>其核算内容与原账的上述相应科目的核算内容基本相同。转账时，单位应当将原账的上述科目余额直接转入新账的相应科目。</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）“应缴税费”科目</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新制度设置了“应交增值税”</w:t>
      </w:r>
      <w:r>
        <w:rPr>
          <w:rFonts w:hint="eastAsia" w:ascii="Times New Roman" w:hAnsi="Times New Roman" w:eastAsia="仿宋_GB2312" w:cs="Times New Roman"/>
          <w:sz w:val="32"/>
          <w:szCs w:val="32"/>
        </w:rPr>
        <w:t>、</w:t>
      </w:r>
      <w:r>
        <w:rPr>
          <w:rFonts w:hint="eastAsia" w:ascii="Times New Roman" w:hAnsi="Times New Roman" w:eastAsia="仿宋_GB2312" w:cs="Times New Roman"/>
          <w:kern w:val="0"/>
          <w:sz w:val="32"/>
          <w:szCs w:val="32"/>
        </w:rPr>
        <w:t>“其他应交税费”科目，原制度设置了“应缴税费”科目。转账时，单位应当将原账的“应缴税费——应缴增值税”科目余额转入新账“应交增值税”科目中的相关明细科目；将原账的“应缴税费”科目余额减去属于应交增值税余额后的差额，转入新账的“其他应交税费”科目。</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）“应付账款”科目</w:t>
      </w:r>
    </w:p>
    <w:p>
      <w:pPr>
        <w:ind w:firstLine="707" w:firstLineChars="221"/>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新制度设置了“应付账款”科目，该科目的核算内容与原账</w:t>
      </w:r>
      <w:r>
        <w:rPr>
          <w:rFonts w:hint="eastAsia" w:ascii="Times New Roman" w:hAnsi="Times New Roman" w:eastAsia="仿宋_GB2312" w:cs="Times New Roman"/>
          <w:sz w:val="32"/>
          <w:szCs w:val="32"/>
        </w:rPr>
        <w:t>“应付账款”</w:t>
      </w:r>
      <w:r>
        <w:rPr>
          <w:rFonts w:hint="eastAsia" w:ascii="Times New Roman" w:hAnsi="Times New Roman" w:eastAsia="仿宋_GB2312" w:cs="Times New Roman"/>
          <w:kern w:val="0"/>
          <w:sz w:val="32"/>
          <w:szCs w:val="32"/>
        </w:rPr>
        <w:t>科目的核算内容基本相同，但是不再核算应付质量保证金，应付质量保证金改在新账的“其他应付款”科目核算。转账时，单位应当将原账的“应付账款”科目余额中属于尚未支付质量保证金的余额，转入新账的“其他应付款”科目；将原账的“应付账款”科目余额减去其中属于尚未支付质量保证金的余额后的差额，转入新账的“应付账款”科目。</w:t>
      </w:r>
    </w:p>
    <w:p>
      <w:pPr>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净资产类</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）“财政拨款结转”、“财政拨款结余”、“其他资金结转结余”科目</w:t>
      </w:r>
    </w:p>
    <w:p>
      <w:pPr>
        <w:ind w:firstLine="707" w:firstLineChars="221"/>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新制度设置了“累计盈余”科目，该科目的余额包含了原账的“财政拨款结转”、“财政拨款结余”、“其他资金结转结余”科目</w:t>
      </w:r>
      <w:r>
        <w:rPr>
          <w:rFonts w:hint="eastAsia" w:ascii="Times New Roman" w:hAnsi="Times New Roman" w:eastAsia="仿宋_GB2312" w:cs="Times New Roman"/>
          <w:kern w:val="0"/>
          <w:sz w:val="32"/>
          <w:szCs w:val="32"/>
        </w:rPr>
        <w:t>的余额内容。转账时，单位应当将原账的</w:t>
      </w:r>
      <w:r>
        <w:rPr>
          <w:rFonts w:hint="eastAsia" w:ascii="Times New Roman" w:hAnsi="Times New Roman" w:eastAsia="仿宋_GB2312" w:cs="Times New Roman"/>
          <w:sz w:val="32"/>
          <w:szCs w:val="32"/>
        </w:rPr>
        <w:t>“财政拨款结转”、“财政拨款结余”、“其他资金结转结余”科目</w:t>
      </w:r>
      <w:r>
        <w:rPr>
          <w:rFonts w:hint="eastAsia" w:ascii="Times New Roman" w:hAnsi="Times New Roman" w:eastAsia="仿宋_GB2312" w:cs="Times New Roman"/>
          <w:kern w:val="0"/>
          <w:sz w:val="32"/>
          <w:szCs w:val="32"/>
        </w:rPr>
        <w:t>余额，转入新账的“累计盈余”科目。</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）“资产基金”、“待偿债净资产”科目</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依据新制度，单位无需对原制度中“资产基金”、“待偿债净资产”科目对应的内容进行核算。</w:t>
      </w:r>
      <w:r>
        <w:rPr>
          <w:rFonts w:hint="eastAsia" w:ascii="Times New Roman" w:hAnsi="Times New Roman" w:eastAsia="仿宋_GB2312" w:cs="Times New Roman"/>
          <w:kern w:val="0"/>
          <w:sz w:val="32"/>
          <w:szCs w:val="32"/>
        </w:rPr>
        <w:t>转账时，单位应当将原账</w:t>
      </w:r>
      <w:r>
        <w:rPr>
          <w:rFonts w:hint="eastAsia" w:ascii="Times New Roman" w:hAnsi="Times New Roman" w:eastAsia="仿宋_GB2312" w:cs="Times New Roman"/>
          <w:sz w:val="32"/>
          <w:szCs w:val="32"/>
        </w:rPr>
        <w:t>“资产基金”</w:t>
      </w:r>
      <w:r>
        <w:rPr>
          <w:rFonts w:hint="eastAsia" w:ascii="Times New Roman" w:hAnsi="Times New Roman" w:eastAsia="仿宋_GB2312" w:cs="Times New Roman"/>
          <w:kern w:val="0"/>
          <w:sz w:val="32"/>
          <w:szCs w:val="32"/>
        </w:rPr>
        <w:t>科目贷方余额转入新账的“累计盈余”科</w:t>
      </w:r>
      <w:r>
        <w:rPr>
          <w:rFonts w:hint="eastAsia" w:ascii="Times New Roman" w:hAnsi="Times New Roman" w:eastAsia="仿宋_GB2312" w:cs="Times New Roman"/>
          <w:sz w:val="32"/>
          <w:szCs w:val="32"/>
        </w:rPr>
        <w:t>目贷方，</w:t>
      </w:r>
      <w:r>
        <w:rPr>
          <w:rFonts w:hint="eastAsia" w:ascii="Times New Roman" w:hAnsi="Times New Roman" w:eastAsia="仿宋_GB2312" w:cs="Times New Roman"/>
          <w:kern w:val="0"/>
          <w:sz w:val="32"/>
          <w:szCs w:val="32"/>
        </w:rPr>
        <w:t>将原账的</w:t>
      </w:r>
      <w:r>
        <w:rPr>
          <w:rFonts w:hint="eastAsia" w:ascii="Times New Roman" w:hAnsi="Times New Roman" w:eastAsia="仿宋_GB2312" w:cs="Times New Roman"/>
          <w:sz w:val="32"/>
          <w:szCs w:val="32"/>
        </w:rPr>
        <w:t>“待偿债净资产”科目借方余额转入新账的“累计盈余”科目借方。</w:t>
      </w:r>
    </w:p>
    <w:p>
      <w:pPr>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4.</w:t>
      </w:r>
      <w:r>
        <w:rPr>
          <w:rFonts w:hint="eastAsia" w:ascii="Times New Roman" w:hAnsi="Times New Roman" w:eastAsia="仿宋_GB2312" w:cs="Times New Roman"/>
          <w:sz w:val="32"/>
          <w:szCs w:val="32"/>
        </w:rPr>
        <w:t>收入类、支出类</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由于原账中收入类、支出类科目年末无余额，单位无需进行转账处理。自</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日起，单位应当按照新制度设置收入类、费用类科目并进行账务处理。</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单位存在其他本规定未列举的原账科目余额的，应当比照本规定转入新账的相应科目。新账科目设有明细科目的，应当对原账中对应科目的余额加以分析，分别转入新账中相应科目的相关明细科目。</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单位在进行新旧衔接的转账时，应当编制转账的工作分录，作为转账的工作底稿，并将转入新账的对应原账户余额及分拆原账户余额的依据作为原始凭证。</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（二）将原未入账事项登记新账财务会计科目</w:t>
      </w:r>
    </w:p>
    <w:p>
      <w:pPr>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在途物品、政府储备物资、公共基础设施、</w:t>
      </w:r>
      <w:r>
        <w:rPr>
          <w:rFonts w:hint="eastAsia" w:ascii="Times New Roman" w:hAnsi="Times New Roman" w:eastAsia="仿宋_GB2312" w:cs="Times New Roman"/>
          <w:kern w:val="0"/>
          <w:sz w:val="32"/>
          <w:szCs w:val="32"/>
        </w:rPr>
        <w:t>文物文化资产、保障性住房</w:t>
      </w:r>
    </w:p>
    <w:p>
      <w:pPr>
        <w:ind w:firstLine="707" w:firstLineChars="221"/>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单位在新旧制度转换时，应当将</w:t>
      </w:r>
      <w:r>
        <w:rPr>
          <w:rFonts w:ascii="Times New Roman" w:hAnsi="Times New Roman" w:eastAsia="仿宋_GB2312" w:cs="Times New Roman"/>
          <w:kern w:val="0"/>
          <w:sz w:val="32"/>
          <w:szCs w:val="32"/>
        </w:rPr>
        <w:t>2018</w:t>
      </w:r>
      <w:r>
        <w:rPr>
          <w:rFonts w:hint="eastAsia" w:ascii="Times New Roman" w:hAnsi="Times New Roman" w:eastAsia="仿宋_GB2312" w:cs="Times New Roman"/>
          <w:kern w:val="0"/>
          <w:sz w:val="32"/>
          <w:szCs w:val="32"/>
        </w:rPr>
        <w:t>年</w:t>
      </w:r>
      <w:r>
        <w:rPr>
          <w:rFonts w:ascii="Times New Roman" w:hAnsi="Times New Roman" w:eastAsia="仿宋_GB2312" w:cs="Times New Roman"/>
          <w:kern w:val="0"/>
          <w:sz w:val="32"/>
          <w:szCs w:val="32"/>
        </w:rPr>
        <w:t>12</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31</w:t>
      </w:r>
      <w:r>
        <w:rPr>
          <w:rFonts w:hint="eastAsia" w:ascii="Times New Roman" w:hAnsi="Times New Roman" w:eastAsia="仿宋_GB2312" w:cs="Times New Roman"/>
          <w:kern w:val="0"/>
          <w:sz w:val="32"/>
          <w:szCs w:val="32"/>
        </w:rPr>
        <w:t>日前未入账的在途物品、</w:t>
      </w:r>
      <w:r>
        <w:rPr>
          <w:rFonts w:hint="eastAsia" w:ascii="Times New Roman" w:hAnsi="Times New Roman" w:eastAsia="仿宋_GB2312" w:cs="Times New Roman"/>
          <w:sz w:val="32"/>
          <w:szCs w:val="32"/>
        </w:rPr>
        <w:t>政府储备物资、公共基础设施、</w:t>
      </w:r>
      <w:r>
        <w:rPr>
          <w:rFonts w:hint="eastAsia" w:ascii="Times New Roman" w:hAnsi="Times New Roman" w:eastAsia="仿宋_GB2312" w:cs="Times New Roman"/>
          <w:kern w:val="0"/>
          <w:sz w:val="32"/>
          <w:szCs w:val="32"/>
        </w:rPr>
        <w:t>文物文化资产、保障性住房按照新制度规定记入新账。登记新账时，按照确定的在途物品、</w:t>
      </w:r>
      <w:r>
        <w:rPr>
          <w:rFonts w:hint="eastAsia" w:ascii="Times New Roman" w:hAnsi="Times New Roman" w:eastAsia="仿宋_GB2312" w:cs="Times New Roman"/>
          <w:sz w:val="32"/>
          <w:szCs w:val="32"/>
        </w:rPr>
        <w:t>政府储备物资、公共基础设施、</w:t>
      </w:r>
      <w:r>
        <w:rPr>
          <w:rFonts w:hint="eastAsia" w:ascii="Times New Roman" w:hAnsi="Times New Roman" w:eastAsia="仿宋_GB2312" w:cs="Times New Roman"/>
          <w:kern w:val="0"/>
          <w:sz w:val="32"/>
          <w:szCs w:val="32"/>
        </w:rPr>
        <w:t>文物文化资产、保障性住房初始入账成本，分别借记“在途物品”、“政府储备物资”、“公共基础设施”、“文物文化资产”、“保障性住房”科目，贷记“累计盈余”科目。</w:t>
      </w:r>
    </w:p>
    <w:p>
      <w:pPr>
        <w:ind w:firstLine="707" w:firstLineChars="221"/>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单位对于登记新账时首次确认的公共基础设施、保障性住房，应当于2019年1月1日以后，按照其在登记新账时确定的成本和尚可使用年限计提折旧（摊销）。</w:t>
      </w:r>
    </w:p>
    <w:p>
      <w:pPr>
        <w:autoSpaceDE w:val="0"/>
        <w:autoSpaceDN w:val="0"/>
        <w:adjustRightInd w:val="0"/>
        <w:ind w:firstLine="707" w:firstLineChars="221"/>
        <w:jc w:val="left"/>
        <w:rPr>
          <w:rFonts w:ascii="Times New Roman" w:hAnsi="Times New Roman" w:eastAsia="仿宋_GB2312" w:cs="Times New Roman"/>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sz w:val="32"/>
          <w:szCs w:val="32"/>
        </w:rPr>
        <w:t>受托代理资产</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单位在新旧制度转换时，应当将</w:t>
      </w:r>
      <w:r>
        <w:rPr>
          <w:rFonts w:ascii="Times New Roman" w:hAnsi="Times New Roman" w:eastAsia="仿宋_GB2312" w:cs="Times New Roman"/>
          <w:kern w:val="0"/>
          <w:sz w:val="32"/>
          <w:szCs w:val="32"/>
        </w:rPr>
        <w:t>2018</w:t>
      </w:r>
      <w:r>
        <w:rPr>
          <w:rFonts w:hint="eastAsia" w:ascii="Times New Roman" w:hAnsi="Times New Roman" w:eastAsia="仿宋_GB2312" w:cs="Times New Roman"/>
          <w:kern w:val="0"/>
          <w:sz w:val="32"/>
          <w:szCs w:val="32"/>
        </w:rPr>
        <w:t>年</w:t>
      </w:r>
      <w:r>
        <w:rPr>
          <w:rFonts w:ascii="Times New Roman" w:hAnsi="Times New Roman" w:eastAsia="仿宋_GB2312" w:cs="Times New Roman"/>
          <w:kern w:val="0"/>
          <w:sz w:val="32"/>
          <w:szCs w:val="32"/>
        </w:rPr>
        <w:t>12</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31</w:t>
      </w:r>
      <w:r>
        <w:rPr>
          <w:rFonts w:hint="eastAsia" w:ascii="Times New Roman" w:hAnsi="Times New Roman" w:eastAsia="仿宋_GB2312" w:cs="Times New Roman"/>
          <w:kern w:val="0"/>
          <w:sz w:val="32"/>
          <w:szCs w:val="32"/>
        </w:rPr>
        <w:t>日前未入账的受托代理物资按照新制度规定记入新账。登记新账时，按照确定的受托代理物资成本，借记“受托代理资产”科目，贷记“受托代理负债”科目。</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3</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盘盈资产</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单位在新旧制度转换时，应当将</w:t>
      </w:r>
      <w:r>
        <w:rPr>
          <w:rFonts w:ascii="Times New Roman" w:hAnsi="Times New Roman" w:eastAsia="仿宋_GB2312" w:cs="Times New Roman"/>
          <w:kern w:val="0"/>
          <w:sz w:val="32"/>
          <w:szCs w:val="32"/>
        </w:rPr>
        <w:t>2018年12月31日前未入账的盘盈资产按照新制度规定记入新账。登记新账时，按照确定的盘盈资产及其</w:t>
      </w:r>
      <w:r>
        <w:rPr>
          <w:rFonts w:hint="eastAsia" w:ascii="Times New Roman" w:hAnsi="Times New Roman" w:eastAsia="仿宋_GB2312" w:cs="Times New Roman"/>
          <w:kern w:val="0"/>
          <w:sz w:val="32"/>
          <w:szCs w:val="32"/>
        </w:rPr>
        <w:t>成本</w:t>
      </w:r>
      <w:r>
        <w:rPr>
          <w:rFonts w:ascii="Times New Roman" w:hAnsi="Times New Roman" w:eastAsia="仿宋_GB2312" w:cs="Times New Roman"/>
          <w:kern w:val="0"/>
          <w:sz w:val="32"/>
          <w:szCs w:val="32"/>
        </w:rPr>
        <w:t>，分别借</w:t>
      </w:r>
      <w:r>
        <w:rPr>
          <w:rFonts w:hint="eastAsia" w:ascii="Times New Roman" w:hAnsi="Times New Roman" w:eastAsia="仿宋_GB2312" w:cs="Times New Roman"/>
          <w:kern w:val="0"/>
          <w:sz w:val="32"/>
          <w:szCs w:val="32"/>
        </w:rPr>
        <w:t>记有关资产科目，按照盘盈资产成本的合计金额，贷记“累计盈余”科目。</w:t>
      </w:r>
    </w:p>
    <w:p>
      <w:pPr>
        <w:autoSpaceDE w:val="0"/>
        <w:autoSpaceDN w:val="0"/>
        <w:adjustRightInd w:val="0"/>
        <w:ind w:firstLine="707" w:firstLineChars="221"/>
        <w:jc w:val="left"/>
        <w:rPr>
          <w:rFonts w:ascii="Times New Roman" w:hAnsi="Times New Roman" w:eastAsia="仿宋_GB2312" w:cs="Times New Roman"/>
          <w:sz w:val="32"/>
          <w:szCs w:val="32"/>
        </w:rPr>
      </w:pPr>
      <w:r>
        <w:rPr>
          <w:rFonts w:ascii="Times New Roman" w:hAnsi="Times New Roman" w:eastAsia="仿宋_GB2312" w:cs="Times New Roman"/>
          <w:kern w:val="0"/>
          <w:sz w:val="32"/>
          <w:szCs w:val="32"/>
        </w:rPr>
        <w:t>4.</w:t>
      </w:r>
      <w:r>
        <w:rPr>
          <w:rFonts w:hint="eastAsia" w:ascii="Times New Roman" w:hAnsi="Times New Roman" w:eastAsia="仿宋_GB2312" w:cs="Times New Roman"/>
          <w:sz w:val="32"/>
          <w:szCs w:val="32"/>
        </w:rPr>
        <w:t>预计负债</w:t>
      </w:r>
    </w:p>
    <w:p>
      <w:pPr>
        <w:autoSpaceDE w:val="0"/>
        <w:autoSpaceDN w:val="0"/>
        <w:adjustRightInd w:val="0"/>
        <w:ind w:firstLine="707" w:firstLineChars="221"/>
        <w:jc w:val="left"/>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单位</w:t>
      </w:r>
      <w:r>
        <w:rPr>
          <w:rFonts w:hint="eastAsia" w:ascii="Times New Roman" w:hAnsi="Times New Roman" w:eastAsia="仿宋_GB2312" w:cs="Times New Roman"/>
          <w:kern w:val="0"/>
          <w:sz w:val="32"/>
          <w:szCs w:val="32"/>
        </w:rPr>
        <w:t>在新旧制度转换时，应当将</w:t>
      </w:r>
      <w:r>
        <w:rPr>
          <w:rFonts w:ascii="Times New Roman" w:hAnsi="Times New Roman" w:eastAsia="仿宋_GB2312" w:cs="Times New Roman"/>
          <w:kern w:val="0"/>
          <w:sz w:val="32"/>
          <w:szCs w:val="32"/>
        </w:rPr>
        <w:t>2018年12月31日按照新制度规定确认的预计负债记入新账</w:t>
      </w:r>
      <w:r>
        <w:rPr>
          <w:rFonts w:hint="eastAsia" w:ascii="Times New Roman" w:hAnsi="Times New Roman" w:eastAsia="仿宋_GB2312" w:cs="Times New Roman"/>
          <w:kern w:val="0"/>
          <w:sz w:val="32"/>
          <w:szCs w:val="32"/>
        </w:rPr>
        <w:t>。登记新账时，按照确定的预计负债金额，借记“累计盈余”科目，贷记“预计负债”科目。</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单位存在</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日前未入账的其他事项的，应当比照本规定登记新账的相应科目。</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单位对新账的财务会计科目补记未入账事项时，应当编制记账凭证，并将补充登记事项的确认依据作为原始凭证。</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（三）对新账的相关财务会计科目余额按照新制度规定的核算基础进行调整</w:t>
      </w:r>
    </w:p>
    <w:p>
      <w:pPr>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补提折旧</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单位在原账中尚未计提固定资产折旧、公共基础设施折旧（摊销）的，应当全面核查截至</w:t>
      </w:r>
      <w:r>
        <w:rPr>
          <w:rFonts w:ascii="Times New Roman" w:hAnsi="Times New Roman" w:eastAsia="仿宋_GB2312" w:cs="Times New Roman"/>
          <w:kern w:val="0"/>
          <w:sz w:val="32"/>
          <w:szCs w:val="32"/>
        </w:rPr>
        <w:t>2018</w:t>
      </w:r>
      <w:r>
        <w:rPr>
          <w:rFonts w:hint="eastAsia" w:ascii="Times New Roman" w:hAnsi="Times New Roman" w:eastAsia="仿宋_GB2312" w:cs="Times New Roman"/>
          <w:kern w:val="0"/>
          <w:sz w:val="32"/>
          <w:szCs w:val="32"/>
        </w:rPr>
        <w:t>年</w:t>
      </w:r>
      <w:r>
        <w:rPr>
          <w:rFonts w:ascii="Times New Roman" w:hAnsi="Times New Roman" w:eastAsia="仿宋_GB2312" w:cs="Times New Roman"/>
          <w:kern w:val="0"/>
          <w:sz w:val="32"/>
          <w:szCs w:val="32"/>
        </w:rPr>
        <w:t>12</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31</w:t>
      </w:r>
      <w:r>
        <w:rPr>
          <w:rFonts w:hint="eastAsia" w:ascii="Times New Roman" w:hAnsi="Times New Roman" w:eastAsia="仿宋_GB2312" w:cs="Times New Roman"/>
          <w:kern w:val="0"/>
          <w:sz w:val="32"/>
          <w:szCs w:val="32"/>
        </w:rPr>
        <w:t>日固定资产、公共基础设施的预计使用年限、已使用年限、尚可使用年限等，并按照新制度规定于</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日对尚未计提折旧的固定资产、公共基础设施补提折旧，按照应计提的折旧金额，借记“累计盈余”科目，贷记“固定资产累计折旧”、</w:t>
      </w:r>
      <w:r>
        <w:rPr>
          <w:rFonts w:hint="eastAsia" w:ascii="Times New Roman" w:hAnsi="Times New Roman" w:eastAsia="仿宋_GB2312" w:cs="Times New Roman"/>
          <w:kern w:val="0"/>
          <w:sz w:val="32"/>
          <w:szCs w:val="32"/>
        </w:rPr>
        <w:t>“公共基础设施累计折旧（摊销）”</w:t>
      </w:r>
      <w:r>
        <w:rPr>
          <w:rFonts w:hint="eastAsia" w:ascii="Times New Roman" w:hAnsi="Times New Roman" w:eastAsia="仿宋_GB2312" w:cs="Times New Roman"/>
          <w:sz w:val="32"/>
          <w:szCs w:val="32"/>
        </w:rPr>
        <w:t>科目。</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单位在原账的“固定资产”科目中核算了按照新制度规定应当记入“公共基础设施”、“保障性住房”科目内容的，应当比照前款规定补提公共基础设施折旧（摊销）、保障性住房折旧，按照应计提的折旧（摊销）金额，借记“累计盈余”科目，贷记“公共基础设施累计折旧（摊销）”、“保障性住房累计折旧”科目。</w:t>
      </w:r>
    </w:p>
    <w:p>
      <w:pPr>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补提摊销</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单位在原账中尚未计提无形资产摊销的，应当全面核查截至</w:t>
      </w:r>
      <w:r>
        <w:rPr>
          <w:rFonts w:ascii="Times New Roman" w:hAnsi="Times New Roman" w:eastAsia="仿宋_GB2312" w:cs="Times New Roman"/>
          <w:kern w:val="0"/>
          <w:sz w:val="32"/>
          <w:szCs w:val="32"/>
        </w:rPr>
        <w:t>2018</w:t>
      </w:r>
      <w:r>
        <w:rPr>
          <w:rFonts w:hint="eastAsia" w:ascii="Times New Roman" w:hAnsi="Times New Roman" w:eastAsia="仿宋_GB2312" w:cs="Times New Roman"/>
          <w:kern w:val="0"/>
          <w:sz w:val="32"/>
          <w:szCs w:val="32"/>
        </w:rPr>
        <w:t>年</w:t>
      </w:r>
      <w:r>
        <w:rPr>
          <w:rFonts w:ascii="Times New Roman" w:hAnsi="Times New Roman" w:eastAsia="仿宋_GB2312" w:cs="Times New Roman"/>
          <w:kern w:val="0"/>
          <w:sz w:val="32"/>
          <w:szCs w:val="32"/>
        </w:rPr>
        <w:t>12</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31</w:t>
      </w:r>
      <w:r>
        <w:rPr>
          <w:rFonts w:hint="eastAsia" w:ascii="Times New Roman" w:hAnsi="Times New Roman" w:eastAsia="仿宋_GB2312" w:cs="Times New Roman"/>
          <w:kern w:val="0"/>
          <w:sz w:val="32"/>
          <w:szCs w:val="32"/>
        </w:rPr>
        <w:t>日无形资产的预计使用年限、已使用年限、尚可使用年限等，并按照新制度规定于</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日对尚未摊销的无形资产补提摊销，按照应计提的摊销金额，借记“累计盈余”科目，贷记“无形资产累计摊销”科目。</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单位对新账的财务会计科目期初余额进行调整时，应当编制记账凭证，并将调整事项的确认依据作为原始凭证。</w:t>
      </w:r>
    </w:p>
    <w:p>
      <w:pPr>
        <w:ind w:firstLine="707" w:firstLineChars="221"/>
        <w:rPr>
          <w:rFonts w:ascii="黑体" w:hAnsi="黑体" w:eastAsia="黑体" w:cs="Times New Roman"/>
          <w:bCs/>
          <w:sz w:val="32"/>
          <w:szCs w:val="32"/>
        </w:rPr>
      </w:pPr>
      <w:r>
        <w:rPr>
          <w:rFonts w:hint="eastAsia" w:ascii="黑体" w:hAnsi="黑体" w:eastAsia="黑体" w:cs="Times New Roman"/>
          <w:bCs/>
          <w:sz w:val="32"/>
          <w:szCs w:val="32"/>
        </w:rPr>
        <w:t>三、预算会计科目的新旧衔接</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（一）“财政拨款结转”和“财政拨款结余”科目及对应的“资金结存”科目余额</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新制度设置了“财政拨款结转”、“财政拨款结余”科目及对应的“资金结存”科目。在新旧制度转换时，单位按照新制度规定将原账其他应收款中的预付款项计入预算支出的，应当对原账的“财政拨款结转”科目余额进行逐项分析，按照减去已经支付财政资金尚未计入预算支出（如其他应收款中的预付款项等）的金额后的差额，登记新账的“财政拨款结转”科目及其明细科目贷方；按照原账的“财政拨款结余”科目余额，登记新账的“财政拨款结余”科目及其明细科目贷方。</w:t>
      </w:r>
    </w:p>
    <w:p>
      <w:pPr>
        <w:ind w:firstLine="707" w:firstLineChars="221"/>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单位应当按照原账的“财政应返还额度”科目余额登记新账的“资金结存——财政应返还额度”科目借方；按照新账的“财政拨款结转”和“财政拨款结余”科目贷方余额合计数，减去新账的“资金结存——财政应返还额度”科目借方余额后的差额，登记新账的“资金结存——货币资金”科目的借方。</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（二）“非财政拨款结转”科目及对应的“资金结存”科目余额</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新制度设置了“非财政拨款结转”科目及对应的“资金结存”科目。在新旧制度转换时，单位按照新制度规定将原账其他应收款中的预付款项计入预算支出的，应当对原账的“其他资金结转结余——项目结转”科目余额进行逐项分析，按照减去已经支付非财政拨款专项资金尚未计入预算支出（如其他应收款中的预付款项等）的金额后的差额，登记新账的“非财政拨款结转”科目及其明细科目贷方；同时，按照相同的金额登记新账的“资金结存——货币资金”科目借方。</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（三）“非财政拨款结余”科目及对应的“资金结存”科目余额</w:t>
      </w:r>
    </w:p>
    <w:p>
      <w:pPr>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登记“非财政拨款结余”科目余额</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新制度设置了“非财政拨款结余”科目及对应的“资金结存”科目</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在新旧制度转换时</w:t>
      </w:r>
      <w:r>
        <w:rPr>
          <w:rFonts w:hint="eastAsia" w:ascii="Times New Roman" w:hAnsi="Times New Roman" w:eastAsia="仿宋_GB2312" w:cs="Times New Roman"/>
          <w:kern w:val="0"/>
          <w:sz w:val="32"/>
          <w:szCs w:val="32"/>
        </w:rPr>
        <w:t>，单位应当按照原账的</w:t>
      </w:r>
      <w:r>
        <w:rPr>
          <w:rFonts w:hint="eastAsia" w:ascii="Times New Roman" w:hAnsi="Times New Roman" w:eastAsia="仿宋_GB2312" w:cs="Times New Roman"/>
          <w:sz w:val="32"/>
          <w:szCs w:val="32"/>
        </w:rPr>
        <w:t>“其他资金结转结余——非项目结余”科目余额，借记新账的“资金结存——货币资金”科目，贷记新账的“非财政拨款结余”科目。</w:t>
      </w:r>
    </w:p>
    <w:p>
      <w:pPr>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对新账“非财政拨款结余”科目及“资金结存”科目余额进行调整</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按照新制度规定将原账其他应收款中的预付款项计入预算支出的，应当对原账的“其他应收款”科目余额进行分析，区分其中预付款项的金额（将来很可能列支）和非预付款项的金额，并对预付款项的金额划分为财政拨款资金预付的金额、非财政拨款专项资金预付的金额和非财政拨款非专项资金预付的金额，按照非财政拨款非专项资金预付的金额，借记新账的“非财政拨款结余”科目，贷记新账的“资金结存——货币资金”科目。</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（四）预算收入类、预算支出类会计科目</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由于预算收入类、预算支出类会计科目年初无余额，在新旧制度转换时</w:t>
      </w:r>
      <w:r>
        <w:rPr>
          <w:rFonts w:hint="eastAsia" w:ascii="Times New Roman" w:hAnsi="Times New Roman" w:eastAsia="仿宋_GB2312" w:cs="Times New Roman"/>
          <w:kern w:val="0"/>
          <w:sz w:val="32"/>
          <w:szCs w:val="32"/>
        </w:rPr>
        <w:t>，单位无需对</w:t>
      </w:r>
      <w:r>
        <w:rPr>
          <w:rFonts w:hint="eastAsia" w:ascii="Times New Roman" w:hAnsi="Times New Roman" w:eastAsia="仿宋_GB2312" w:cs="Times New Roman"/>
          <w:sz w:val="32"/>
          <w:szCs w:val="32"/>
        </w:rPr>
        <w:t>预算收入类、预算支出类会计科目进行新账年初余额登记。</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应当</w:t>
      </w:r>
      <w:r>
        <w:rPr>
          <w:rFonts w:hint="eastAsia" w:ascii="Times New Roman" w:hAnsi="Times New Roman" w:eastAsia="仿宋_GB2312" w:cs="Times New Roman"/>
          <w:sz w:val="32"/>
          <w:szCs w:val="32"/>
        </w:rPr>
        <w:t>自</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日起，按照新制度设置预算收入类、预算支出类科目并进行账务处理。</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单位存在</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日前需要按照新制度预算会计核算基础调整预算会计科目期初余额的其他事项的，应当比照本规定调整新账的相应预算会计科目期初余额。</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单位对预算会计科目的期初余额登记和调整，应当编制记账凭证，并将期初余额登记和调整的依据作为原始凭证。</w:t>
      </w:r>
    </w:p>
    <w:p>
      <w:pPr>
        <w:ind w:firstLine="707" w:firstLineChars="221"/>
        <w:rPr>
          <w:rFonts w:ascii="黑体" w:hAnsi="黑体" w:eastAsia="黑体" w:cs="Times New Roman"/>
          <w:bCs/>
          <w:sz w:val="32"/>
          <w:szCs w:val="32"/>
        </w:rPr>
      </w:pPr>
      <w:r>
        <w:rPr>
          <w:rFonts w:hint="eastAsia" w:ascii="黑体" w:hAnsi="黑体" w:eastAsia="黑体" w:cs="Times New Roman"/>
          <w:bCs/>
          <w:sz w:val="32"/>
          <w:szCs w:val="32"/>
        </w:rPr>
        <w:t>四、财务报表和预算会计报表的新旧衔接</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（一）编制</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日资产负债表</w:t>
      </w:r>
    </w:p>
    <w:p>
      <w:pPr>
        <w:ind w:firstLine="42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单位应当根据</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日新账的财务会计科目余额，按照新制度编制</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日资产负债表（仅要求填列各项目“年初余额”）。</w:t>
      </w:r>
    </w:p>
    <w:p>
      <w:pPr>
        <w:autoSpaceDE w:val="0"/>
        <w:autoSpaceDN w:val="0"/>
        <w:adjustRightInd w:val="0"/>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kern w:val="0"/>
          <w:sz w:val="32"/>
          <w:szCs w:val="32"/>
        </w:rPr>
        <w:t>2019</w:t>
      </w:r>
      <w:r>
        <w:rPr>
          <w:rFonts w:hint="eastAsia" w:ascii="Times New Roman" w:hAnsi="Times New Roman" w:eastAsia="仿宋_GB2312" w:cs="Times New Roman"/>
          <w:kern w:val="0"/>
          <w:sz w:val="32"/>
          <w:szCs w:val="32"/>
        </w:rPr>
        <w:t>年度财务报表和预算会计报表的编制</w:t>
      </w:r>
    </w:p>
    <w:p>
      <w:pPr>
        <w:ind w:firstLine="707" w:firstLineChars="221"/>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单位应当按照新制度规定编制</w:t>
      </w:r>
      <w:r>
        <w:rPr>
          <w:rFonts w:ascii="Times New Roman" w:hAnsi="Times New Roman" w:eastAsia="仿宋_GB2312" w:cs="Times New Roman"/>
          <w:kern w:val="0"/>
          <w:sz w:val="32"/>
          <w:szCs w:val="32"/>
        </w:rPr>
        <w:t>2019</w:t>
      </w:r>
      <w:r>
        <w:rPr>
          <w:rFonts w:hint="eastAsia" w:ascii="Times New Roman" w:hAnsi="Times New Roman" w:eastAsia="仿宋_GB2312" w:cs="Times New Roman"/>
          <w:kern w:val="0"/>
          <w:sz w:val="32"/>
          <w:szCs w:val="32"/>
        </w:rPr>
        <w:t>年财务报表和预算会计报表。在编制2019年度收入费用表、净资产变动表、现金流量表和预算收入支出表、预算结转结余变动表时，不要求填列上年比较数。</w:t>
      </w:r>
    </w:p>
    <w:p>
      <w:pPr>
        <w:ind w:firstLine="707" w:firstLineChars="221"/>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单位应当根据</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日新账财务会计科目余额，填列</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年净资产变动表各项目的“上年年末余额”；根据</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日新账预算会计科目余额，填列</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年预算结转结余变动表的“年初预算结转结余”项目和财政拨款预算收入支出表的“年初财政拨款结转结余”项目。</w:t>
      </w:r>
    </w:p>
    <w:p>
      <w:pPr>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五、其他事项</w:t>
      </w:r>
    </w:p>
    <w:p>
      <w:pPr>
        <w:widowControl/>
        <w:ind w:firstLine="566" w:firstLineChars="177"/>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截至2018年12月31日尚未进行基建“并账”的单位，应当首先参照《新旧行政单位会计制度有关衔接问题的处理规定》（财库〔2013〕219号），将基建账套相关数据并入2018年12月31日原账中的相关科目余额，再按照本规定将2018年12月31日原账相关会计科目余额转入新账相应科目。</w:t>
      </w:r>
    </w:p>
    <w:p>
      <w:pPr>
        <w:widowControl/>
        <w:ind w:firstLine="566" w:firstLineChars="177"/>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w:t>
      </w:r>
      <w:r>
        <w:rPr>
          <w:rFonts w:ascii="Times New Roman" w:hAnsi="Times New Roman" w:eastAsia="仿宋_GB2312" w:cs="Times New Roman"/>
          <w:kern w:val="0"/>
          <w:sz w:val="32"/>
          <w:szCs w:val="32"/>
        </w:rPr>
        <w:t>2019</w:t>
      </w:r>
      <w:r>
        <w:rPr>
          <w:rFonts w:hint="eastAsia" w:ascii="Times New Roman" w:hAnsi="Times New Roman" w:eastAsia="仿宋_GB2312" w:cs="Times New Roman"/>
          <w:kern w:val="0"/>
          <w:sz w:val="32"/>
          <w:szCs w:val="32"/>
        </w:rPr>
        <w:t>年</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日前执行新制度的单位，应当参照本规定做好新旧制度衔接工作。</w:t>
      </w:r>
      <w:r>
        <w:rPr>
          <w:rFonts w:ascii="Times New Roman" w:hAnsi="Times New Roman" w:eastAsia="仿宋_GB2312" w:cs="Times New Roman"/>
          <w:sz w:val="32"/>
          <w:szCs w:val="32"/>
        </w:rPr>
        <w:br w:type="page"/>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p>
    <w:p>
      <w:pPr>
        <w:ind w:firstLine="420"/>
        <w:jc w:val="center"/>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行政单位原会计科目余额明细表一</w:t>
      </w:r>
    </w:p>
    <w:tbl>
      <w:tblPr>
        <w:tblStyle w:val="14"/>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3402"/>
        <w:gridCol w:w="708"/>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总账科目</w:t>
            </w:r>
          </w:p>
        </w:tc>
        <w:tc>
          <w:tcPr>
            <w:tcW w:w="3402"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明细分类</w:t>
            </w:r>
          </w:p>
        </w:tc>
        <w:tc>
          <w:tcPr>
            <w:tcW w:w="70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金额</w:t>
            </w:r>
          </w:p>
        </w:tc>
        <w:tc>
          <w:tcPr>
            <w:tcW w:w="283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 w:hRule="atLeast"/>
        </w:trPr>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库存现金</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库存现金</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其中：受托代理现金</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银行存款</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银行存款</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其中：受托代理银行存款</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其他货币资金</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其他应收款</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在途物资</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已经付款，尚未收到物资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存货</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在加工存货</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非在加工存货</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政府储备物资</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固定资产</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固定资产</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公共基础设施</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政府储备物资</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文物文化资产</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保障性住房</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累计折旧</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固定资产累计折旧</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公共基础设施累计折旧</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保障性住房累计折旧</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在建工程</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在建工程</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668" w:type="dxa"/>
            <w:vMerge w:val="continue"/>
            <w:vAlign w:val="center"/>
          </w:tcPr>
          <w:p>
            <w:pPr>
              <w:rPr>
                <w:rFonts w:ascii="Times New Roman" w:hAnsi="Times New Roman" w:eastAsia="仿宋_GB2312" w:cs="Times New Roman"/>
                <w:sz w:val="24"/>
                <w:szCs w:val="24"/>
              </w:rPr>
            </w:pPr>
          </w:p>
        </w:tc>
        <w:tc>
          <w:tcPr>
            <w:tcW w:w="3402" w:type="dxa"/>
            <w:tcBorders>
              <w:bottom w:val="single" w:color="auto" w:sz="4" w:space="0"/>
            </w:tcBorders>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工程物资</w:t>
            </w:r>
          </w:p>
        </w:tc>
        <w:tc>
          <w:tcPr>
            <w:tcW w:w="708" w:type="dxa"/>
            <w:tcBorders>
              <w:bottom w:val="single" w:color="auto" w:sz="4" w:space="0"/>
            </w:tcBorders>
            <w:vAlign w:val="center"/>
          </w:tcPr>
          <w:p>
            <w:pPr>
              <w:rPr>
                <w:rFonts w:ascii="Times New Roman" w:hAnsi="Times New Roman" w:eastAsia="仿宋_GB2312" w:cs="Times New Roman"/>
                <w:sz w:val="24"/>
                <w:szCs w:val="24"/>
              </w:rPr>
            </w:pPr>
          </w:p>
        </w:tc>
        <w:tc>
          <w:tcPr>
            <w:tcW w:w="2835" w:type="dxa"/>
            <w:tcBorders>
              <w:bottom w:val="single" w:color="auto" w:sz="4" w:space="0"/>
            </w:tcBorders>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trPr>
        <w:tc>
          <w:tcPr>
            <w:tcW w:w="1668" w:type="dxa"/>
            <w:vMerge w:val="continue"/>
            <w:vAlign w:val="center"/>
          </w:tcPr>
          <w:p>
            <w:pPr>
              <w:rPr>
                <w:rFonts w:ascii="Times New Roman" w:hAnsi="Times New Roman" w:eastAsia="仿宋_GB2312" w:cs="Times New Roman"/>
                <w:sz w:val="24"/>
                <w:szCs w:val="24"/>
              </w:rPr>
            </w:pPr>
          </w:p>
        </w:tc>
        <w:tc>
          <w:tcPr>
            <w:tcW w:w="3402" w:type="dxa"/>
            <w:tcBorders>
              <w:top w:val="single" w:color="auto" w:sz="4" w:space="0"/>
            </w:tcBorders>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预付工程款、预付备料款</w:t>
            </w:r>
          </w:p>
        </w:tc>
        <w:tc>
          <w:tcPr>
            <w:tcW w:w="708" w:type="dxa"/>
            <w:tcBorders>
              <w:top w:val="single" w:color="auto" w:sz="4" w:space="0"/>
            </w:tcBorders>
            <w:vAlign w:val="center"/>
          </w:tcPr>
          <w:p>
            <w:pPr>
              <w:rPr>
                <w:rFonts w:ascii="Times New Roman" w:hAnsi="Times New Roman" w:eastAsia="仿宋_GB2312" w:cs="Times New Roman"/>
                <w:sz w:val="24"/>
                <w:szCs w:val="24"/>
              </w:rPr>
            </w:pPr>
          </w:p>
        </w:tc>
        <w:tc>
          <w:tcPr>
            <w:tcW w:w="2835" w:type="dxa"/>
            <w:tcBorders>
              <w:top w:val="single" w:color="auto" w:sz="4" w:space="0"/>
            </w:tcBorders>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应缴税费</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应交增值税</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其他应交税费</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应付账款</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应付质量保证金</w:t>
            </w:r>
          </w:p>
        </w:tc>
        <w:tc>
          <w:tcPr>
            <w:tcW w:w="708" w:type="dxa"/>
            <w:vAlign w:val="center"/>
          </w:tcPr>
          <w:p>
            <w:pPr>
              <w:rPr>
                <w:rFonts w:ascii="Times New Roman" w:hAnsi="Times New Roman" w:eastAsia="仿宋_GB2312" w:cs="Times New Roman"/>
                <w:sz w:val="24"/>
                <w:szCs w:val="24"/>
              </w:rPr>
            </w:pPr>
          </w:p>
        </w:tc>
        <w:tc>
          <w:tcPr>
            <w:tcW w:w="283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购置固定资产、完成在建工程等扣留的质量保证金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tc>
        <w:tc>
          <w:tcPr>
            <w:tcW w:w="708" w:type="dxa"/>
            <w:vAlign w:val="center"/>
          </w:tcPr>
          <w:p>
            <w:pPr>
              <w:rPr>
                <w:rFonts w:ascii="Times New Roman" w:hAnsi="Times New Roman" w:eastAsia="仿宋_GB2312" w:cs="Times New Roman"/>
                <w:sz w:val="24"/>
                <w:szCs w:val="24"/>
              </w:rPr>
            </w:pPr>
          </w:p>
        </w:tc>
        <w:tc>
          <w:tcPr>
            <w:tcW w:w="2835" w:type="dxa"/>
            <w:vAlign w:val="center"/>
          </w:tcPr>
          <w:p>
            <w:pPr>
              <w:rPr>
                <w:rFonts w:ascii="Times New Roman" w:hAnsi="Times New Roman" w:eastAsia="仿宋_GB2312" w:cs="Times New Roman"/>
                <w:sz w:val="24"/>
                <w:szCs w:val="24"/>
              </w:rPr>
            </w:pPr>
          </w:p>
        </w:tc>
      </w:tr>
    </w:tbl>
    <w:p>
      <w:pPr>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p>
    <w:p>
      <w:pPr>
        <w:ind w:firstLine="420"/>
        <w:jc w:val="center"/>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行政单位原会计科目余额明细表二</w:t>
      </w:r>
    </w:p>
    <w:tbl>
      <w:tblPr>
        <w:tblStyle w:val="14"/>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3827"/>
        <w:gridCol w:w="851"/>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总账科目</w:t>
            </w:r>
          </w:p>
        </w:tc>
        <w:tc>
          <w:tcPr>
            <w:tcW w:w="3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明细分类</w:t>
            </w:r>
          </w:p>
        </w:tc>
        <w:tc>
          <w:tcPr>
            <w:tcW w:w="85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金额</w:t>
            </w:r>
          </w:p>
        </w:tc>
        <w:tc>
          <w:tcPr>
            <w:tcW w:w="2409"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其他应收款</w:t>
            </w:r>
          </w:p>
        </w:tc>
        <w:tc>
          <w:tcPr>
            <w:tcW w:w="3827"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预付款项</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如职工预借的差旅费等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Merge w:val="continue"/>
            <w:vAlign w:val="center"/>
          </w:tcPr>
          <w:p>
            <w:pPr>
              <w:rPr>
                <w:rFonts w:ascii="Times New Roman" w:hAnsi="Times New Roman" w:eastAsia="仿宋_GB2312" w:cs="Times New Roman"/>
                <w:sz w:val="24"/>
                <w:szCs w:val="24"/>
              </w:rPr>
            </w:pPr>
          </w:p>
        </w:tc>
        <w:tc>
          <w:tcPr>
            <w:tcW w:w="3827"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其中：财政拨款资金预付</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Merge w:val="continue"/>
            <w:vAlign w:val="center"/>
          </w:tcPr>
          <w:p>
            <w:pPr>
              <w:rPr>
                <w:rFonts w:ascii="Times New Roman" w:hAnsi="Times New Roman" w:eastAsia="仿宋_GB2312" w:cs="Times New Roman"/>
                <w:sz w:val="24"/>
                <w:szCs w:val="24"/>
              </w:rPr>
            </w:pPr>
          </w:p>
        </w:tc>
        <w:tc>
          <w:tcPr>
            <w:tcW w:w="382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非财政拨款专项资金预付</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Merge w:val="continue"/>
            <w:vAlign w:val="center"/>
          </w:tcPr>
          <w:p>
            <w:pPr>
              <w:rPr>
                <w:rFonts w:ascii="Times New Roman" w:hAnsi="Times New Roman" w:eastAsia="仿宋_GB2312" w:cs="Times New Roman"/>
                <w:sz w:val="24"/>
                <w:szCs w:val="24"/>
              </w:rPr>
            </w:pPr>
          </w:p>
        </w:tc>
        <w:tc>
          <w:tcPr>
            <w:tcW w:w="382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非财政拨款非专项资金预付</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Merge w:val="continue"/>
            <w:vAlign w:val="center"/>
          </w:tcPr>
          <w:p>
            <w:pPr>
              <w:rPr>
                <w:rFonts w:ascii="Times New Roman" w:hAnsi="Times New Roman" w:eastAsia="仿宋_GB2312" w:cs="Times New Roman"/>
                <w:sz w:val="24"/>
                <w:szCs w:val="24"/>
              </w:rPr>
            </w:pPr>
          </w:p>
        </w:tc>
        <w:tc>
          <w:tcPr>
            <w:tcW w:w="3827"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需要收回及其他</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如支付的押金、应收为职工垫付的款项等</w:t>
            </w:r>
          </w:p>
        </w:tc>
      </w:tr>
    </w:tbl>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p>
    <w:p>
      <w:pPr>
        <w:jc w:val="center"/>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行政单位新旧会计制度转账、登记新账科目对照表</w:t>
      </w:r>
    </w:p>
    <w:tbl>
      <w:tblPr>
        <w:tblStyle w:val="1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56"/>
        <w:gridCol w:w="2752"/>
        <w:gridCol w:w="1056"/>
        <w:gridCol w:w="3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序号</w:t>
            </w:r>
          </w:p>
        </w:tc>
        <w:tc>
          <w:tcPr>
            <w:tcW w:w="3808" w:type="dxa"/>
            <w:gridSpan w:val="2"/>
            <w:tcBorders>
              <w:top w:val="single" w:color="auto" w:sz="4" w:space="0"/>
              <w:left w:val="single" w:color="auto" w:sz="4" w:space="0"/>
              <w:bottom w:val="single" w:color="auto" w:sz="4" w:space="0"/>
              <w:right w:val="single" w:color="auto" w:sz="4" w:space="0"/>
            </w:tcBorders>
            <w:vAlign w:val="center"/>
          </w:tcPr>
          <w:p>
            <w:pPr>
              <w:ind w:left="-1682" w:leftChars="-801" w:firstLine="2242" w:firstLineChars="801"/>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新制度科目</w:t>
            </w:r>
          </w:p>
        </w:tc>
        <w:tc>
          <w:tcPr>
            <w:tcW w:w="40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原制度科目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Merge w:val="continue"/>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编号</w:t>
            </w:r>
          </w:p>
        </w:tc>
        <w:tc>
          <w:tcPr>
            <w:tcW w:w="275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名</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称</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编号</w:t>
            </w:r>
          </w:p>
        </w:tc>
        <w:tc>
          <w:tcPr>
            <w:tcW w:w="300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名</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一、资产类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1001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库存现金</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1001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库存现金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1002</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银行存款</w:t>
            </w:r>
          </w:p>
        </w:tc>
        <w:tc>
          <w:tcPr>
            <w:tcW w:w="1056"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1002</w:t>
            </w:r>
          </w:p>
        </w:tc>
        <w:tc>
          <w:tcPr>
            <w:tcW w:w="3008"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银行存款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1021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其他货币资金</w:t>
            </w:r>
          </w:p>
        </w:tc>
        <w:tc>
          <w:tcPr>
            <w:tcW w:w="1056" w:type="dxa"/>
            <w:vMerge w:val="continue"/>
            <w:tcBorders>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p>
        </w:tc>
        <w:tc>
          <w:tcPr>
            <w:tcW w:w="3008" w:type="dxa"/>
            <w:vMerge w:val="continue"/>
            <w:tcBorders>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1011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零余额账户用款额度</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1011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零余额账户用款额度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1201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财政应返还额度</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1021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财政应返还额度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741" w:type="dxa"/>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w:t>
            </w:r>
          </w:p>
        </w:tc>
        <w:tc>
          <w:tcPr>
            <w:tcW w:w="1056" w:type="dxa"/>
            <w:tcBorders>
              <w:top w:val="single" w:color="auto" w:sz="4" w:space="0"/>
              <w:left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1212</w:t>
            </w:r>
          </w:p>
        </w:tc>
        <w:tc>
          <w:tcPr>
            <w:tcW w:w="2752" w:type="dxa"/>
            <w:tcBorders>
              <w:top w:val="single" w:color="auto" w:sz="4" w:space="0"/>
              <w:left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应收账款</w:t>
            </w:r>
          </w:p>
        </w:tc>
        <w:tc>
          <w:tcPr>
            <w:tcW w:w="10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1212</w:t>
            </w:r>
          </w:p>
        </w:tc>
        <w:tc>
          <w:tcPr>
            <w:tcW w:w="300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应收账款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4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w:t>
            </w:r>
          </w:p>
        </w:tc>
        <w:tc>
          <w:tcPr>
            <w:tcW w:w="1056"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1214</w:t>
            </w:r>
          </w:p>
        </w:tc>
        <w:tc>
          <w:tcPr>
            <w:tcW w:w="2752"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预付账款</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1213</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预付账款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741"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1056" w:type="dxa"/>
            <w:vMerge w:val="continue"/>
            <w:tcBorders>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p>
        </w:tc>
        <w:tc>
          <w:tcPr>
            <w:tcW w:w="2752" w:type="dxa"/>
            <w:vMerge w:val="continue"/>
            <w:tcBorders>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1511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在建工程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8</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1218</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其他应收款</w:t>
            </w:r>
          </w:p>
        </w:tc>
        <w:tc>
          <w:tcPr>
            <w:tcW w:w="1056"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1215</w:t>
            </w:r>
          </w:p>
        </w:tc>
        <w:tc>
          <w:tcPr>
            <w:tcW w:w="3008"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其他应收款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1301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在途物品</w:t>
            </w:r>
          </w:p>
        </w:tc>
        <w:tc>
          <w:tcPr>
            <w:tcW w:w="1056" w:type="dxa"/>
            <w:vMerge w:val="continue"/>
            <w:tcBorders>
              <w:left w:val="single" w:color="auto" w:sz="4" w:space="0"/>
              <w:right w:val="single" w:color="auto" w:sz="4" w:space="0"/>
            </w:tcBorders>
          </w:tcPr>
          <w:p>
            <w:pPr>
              <w:rPr>
                <w:rFonts w:ascii="Times New Roman" w:hAnsi="Times New Roman" w:eastAsia="仿宋_GB2312" w:cs="Times New Roman"/>
                <w:sz w:val="28"/>
                <w:szCs w:val="28"/>
              </w:rPr>
            </w:pPr>
          </w:p>
        </w:tc>
        <w:tc>
          <w:tcPr>
            <w:tcW w:w="3008" w:type="dxa"/>
            <w:vMerge w:val="continue"/>
            <w:tcBorders>
              <w:left w:val="single" w:color="auto" w:sz="4" w:space="0"/>
              <w:right w:val="single" w:color="auto" w:sz="4" w:space="0"/>
            </w:tcBorders>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10</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1302</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库存物品</w:t>
            </w:r>
          </w:p>
        </w:tc>
        <w:tc>
          <w:tcPr>
            <w:tcW w:w="1056" w:type="dxa"/>
            <w:vMerge w:val="restart"/>
            <w:tcBorders>
              <w:left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1301</w:t>
            </w:r>
          </w:p>
        </w:tc>
        <w:tc>
          <w:tcPr>
            <w:tcW w:w="3008" w:type="dxa"/>
            <w:vMerge w:val="restart"/>
            <w:tcBorders>
              <w:left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存货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11</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1303</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加工物品</w:t>
            </w:r>
          </w:p>
        </w:tc>
        <w:tc>
          <w:tcPr>
            <w:tcW w:w="1056" w:type="dxa"/>
            <w:vMerge w:val="continue"/>
            <w:tcBorders>
              <w:left w:val="single" w:color="auto" w:sz="4" w:space="0"/>
              <w:right w:val="single" w:color="auto" w:sz="4" w:space="0"/>
            </w:tcBorders>
          </w:tcPr>
          <w:p>
            <w:pPr>
              <w:rPr>
                <w:rFonts w:ascii="Times New Roman" w:hAnsi="Times New Roman" w:eastAsia="仿宋_GB2312" w:cs="Times New Roman"/>
                <w:sz w:val="28"/>
                <w:szCs w:val="28"/>
              </w:rPr>
            </w:pPr>
          </w:p>
        </w:tc>
        <w:tc>
          <w:tcPr>
            <w:tcW w:w="3008" w:type="dxa"/>
            <w:vMerge w:val="continue"/>
            <w:tcBorders>
              <w:left w:val="single" w:color="auto" w:sz="4" w:space="0"/>
              <w:right w:val="single" w:color="auto" w:sz="4" w:space="0"/>
            </w:tcBorders>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12</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1811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政府储备物资</w:t>
            </w:r>
          </w:p>
        </w:tc>
        <w:tc>
          <w:tcPr>
            <w:tcW w:w="1056" w:type="dxa"/>
            <w:vMerge w:val="continue"/>
            <w:tcBorders>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p>
        </w:tc>
        <w:tc>
          <w:tcPr>
            <w:tcW w:w="3008" w:type="dxa"/>
            <w:vMerge w:val="continue"/>
            <w:tcBorders>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74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13</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1601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固定资产</w:t>
            </w:r>
          </w:p>
        </w:tc>
        <w:tc>
          <w:tcPr>
            <w:tcW w:w="1056"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1501</w:t>
            </w:r>
          </w:p>
        </w:tc>
        <w:tc>
          <w:tcPr>
            <w:tcW w:w="3008"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固定资产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741"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1801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公共基础设施</w:t>
            </w:r>
          </w:p>
        </w:tc>
        <w:tc>
          <w:tcPr>
            <w:tcW w:w="1056"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c>
          <w:tcPr>
            <w:tcW w:w="3008"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41"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1811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政府储备物资</w:t>
            </w:r>
          </w:p>
        </w:tc>
        <w:tc>
          <w:tcPr>
            <w:tcW w:w="1056"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c>
          <w:tcPr>
            <w:tcW w:w="3008"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41" w:type="dxa"/>
            <w:tcBorders>
              <w:left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14</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1821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文物文化资产</w:t>
            </w:r>
          </w:p>
        </w:tc>
        <w:tc>
          <w:tcPr>
            <w:tcW w:w="1056"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c>
          <w:tcPr>
            <w:tcW w:w="3008"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741" w:type="dxa"/>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15</w:t>
            </w:r>
          </w:p>
        </w:tc>
        <w:tc>
          <w:tcPr>
            <w:tcW w:w="1056" w:type="dxa"/>
            <w:tcBorders>
              <w:top w:val="single" w:color="auto" w:sz="4" w:space="0"/>
              <w:left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1831</w:t>
            </w:r>
          </w:p>
        </w:tc>
        <w:tc>
          <w:tcPr>
            <w:tcW w:w="2752" w:type="dxa"/>
            <w:tcBorders>
              <w:top w:val="single" w:color="auto" w:sz="4" w:space="0"/>
              <w:left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保障性住房</w:t>
            </w:r>
          </w:p>
        </w:tc>
        <w:tc>
          <w:tcPr>
            <w:tcW w:w="1056" w:type="dxa"/>
            <w:vMerge w:val="continue"/>
            <w:tcBorders>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3008" w:type="dxa"/>
            <w:vMerge w:val="continue"/>
            <w:tcBorders>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16</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1602</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固定资产累计折旧</w:t>
            </w:r>
          </w:p>
        </w:tc>
        <w:tc>
          <w:tcPr>
            <w:tcW w:w="1056"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1502</w:t>
            </w:r>
          </w:p>
        </w:tc>
        <w:tc>
          <w:tcPr>
            <w:tcW w:w="3008"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累计折旧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17</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1802</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公共基础设施累计折旧（摊销）</w:t>
            </w:r>
          </w:p>
        </w:tc>
        <w:tc>
          <w:tcPr>
            <w:tcW w:w="1056" w:type="dxa"/>
            <w:vMerge w:val="continue"/>
            <w:tcBorders>
              <w:left w:val="single" w:color="auto" w:sz="4" w:space="0"/>
              <w:right w:val="single" w:color="auto" w:sz="4" w:space="0"/>
            </w:tcBorders>
            <w:vAlign w:val="center"/>
          </w:tcPr>
          <w:p>
            <w:pPr>
              <w:rPr>
                <w:rFonts w:ascii="Times New Roman" w:hAnsi="Times New Roman" w:eastAsia="仿宋_GB2312" w:cs="Times New Roman"/>
                <w:kern w:val="0"/>
                <w:sz w:val="28"/>
                <w:szCs w:val="28"/>
              </w:rPr>
            </w:pPr>
          </w:p>
        </w:tc>
        <w:tc>
          <w:tcPr>
            <w:tcW w:w="3008" w:type="dxa"/>
            <w:vMerge w:val="continue"/>
            <w:tcBorders>
              <w:left w:val="single" w:color="auto" w:sz="4" w:space="0"/>
              <w:right w:val="single" w:color="auto" w:sz="4" w:space="0"/>
            </w:tcBorders>
            <w:vAlign w:val="center"/>
          </w:tcPr>
          <w:p>
            <w:pP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18</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1832</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保障性住房累计折旧</w:t>
            </w:r>
          </w:p>
        </w:tc>
        <w:tc>
          <w:tcPr>
            <w:tcW w:w="1056" w:type="dxa"/>
            <w:vMerge w:val="continue"/>
            <w:tcBorders>
              <w:left w:val="single" w:color="auto" w:sz="4" w:space="0"/>
              <w:right w:val="single" w:color="auto" w:sz="4" w:space="0"/>
            </w:tcBorders>
            <w:vAlign w:val="center"/>
          </w:tcPr>
          <w:p>
            <w:pPr>
              <w:rPr>
                <w:rFonts w:ascii="Times New Roman" w:hAnsi="Times New Roman" w:eastAsia="仿宋_GB2312" w:cs="Times New Roman"/>
                <w:kern w:val="0"/>
                <w:sz w:val="28"/>
                <w:szCs w:val="28"/>
              </w:rPr>
            </w:pPr>
          </w:p>
        </w:tc>
        <w:tc>
          <w:tcPr>
            <w:tcW w:w="3008" w:type="dxa"/>
            <w:vMerge w:val="continue"/>
            <w:tcBorders>
              <w:left w:val="single" w:color="auto" w:sz="4" w:space="0"/>
              <w:right w:val="single" w:color="auto" w:sz="4" w:space="0"/>
            </w:tcBorders>
            <w:vAlign w:val="center"/>
          </w:tcPr>
          <w:p>
            <w:pP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19</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1611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工程物资</w:t>
            </w:r>
          </w:p>
        </w:tc>
        <w:tc>
          <w:tcPr>
            <w:tcW w:w="1056"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kern w:val="0"/>
                <w:sz w:val="28"/>
                <w:szCs w:val="28"/>
              </w:rPr>
              <w:t xml:space="preserve">1511 </w:t>
            </w:r>
          </w:p>
        </w:tc>
        <w:tc>
          <w:tcPr>
            <w:tcW w:w="3008"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kern w:val="0"/>
                <w:sz w:val="28"/>
                <w:szCs w:val="28"/>
              </w:rPr>
              <w:t>在建工程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1613</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在建工程</w:t>
            </w:r>
          </w:p>
        </w:tc>
        <w:tc>
          <w:tcPr>
            <w:tcW w:w="1056"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c>
          <w:tcPr>
            <w:tcW w:w="3008"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21</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1701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无形资产</w:t>
            </w:r>
          </w:p>
        </w:tc>
        <w:tc>
          <w:tcPr>
            <w:tcW w:w="1056" w:type="dxa"/>
            <w:tcBorders>
              <w:top w:val="single" w:color="auto" w:sz="4" w:space="0"/>
              <w:left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1601</w:t>
            </w:r>
          </w:p>
        </w:tc>
        <w:tc>
          <w:tcPr>
            <w:tcW w:w="3008" w:type="dxa"/>
            <w:tcBorders>
              <w:top w:val="single" w:color="auto" w:sz="4" w:space="0"/>
              <w:left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无形资产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22</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1702</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无形资产累计摊销</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1602</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累计摊销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23</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1801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公共基础设施</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1802</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公共基础设施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24</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1811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政府储备物资</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1801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政府储备物资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25</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1891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受托代理资产</w:t>
            </w:r>
          </w:p>
        </w:tc>
        <w:tc>
          <w:tcPr>
            <w:tcW w:w="10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1901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受托代理资产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26</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1902</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待处理财产损溢</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1701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待处理财产损溢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二、负债类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27</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2103</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应缴财政款</w:t>
            </w:r>
          </w:p>
        </w:tc>
        <w:tc>
          <w:tcPr>
            <w:tcW w:w="10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2001</w:t>
            </w:r>
          </w:p>
        </w:tc>
        <w:tc>
          <w:tcPr>
            <w:tcW w:w="300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应缴财政款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28</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2101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应交增值税</w:t>
            </w:r>
          </w:p>
        </w:tc>
        <w:tc>
          <w:tcPr>
            <w:tcW w:w="1056"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2101</w:t>
            </w:r>
          </w:p>
        </w:tc>
        <w:tc>
          <w:tcPr>
            <w:tcW w:w="3008"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应缴税费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29</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2102</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其他应交税费</w:t>
            </w:r>
          </w:p>
        </w:tc>
        <w:tc>
          <w:tcPr>
            <w:tcW w:w="1056" w:type="dxa"/>
            <w:vMerge w:val="continue"/>
            <w:tcBorders>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3008" w:type="dxa"/>
            <w:vMerge w:val="continue"/>
            <w:tcBorders>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30</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2201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应付职工薪酬</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2201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应付职工薪酬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31</w:t>
            </w:r>
          </w:p>
        </w:tc>
        <w:tc>
          <w:tcPr>
            <w:tcW w:w="10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2302</w:t>
            </w:r>
          </w:p>
        </w:tc>
        <w:tc>
          <w:tcPr>
            <w:tcW w:w="27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应付账款</w:t>
            </w:r>
          </w:p>
        </w:tc>
        <w:tc>
          <w:tcPr>
            <w:tcW w:w="1056"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2301</w:t>
            </w:r>
          </w:p>
        </w:tc>
        <w:tc>
          <w:tcPr>
            <w:tcW w:w="3008"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应付账款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10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2307</w:t>
            </w:r>
          </w:p>
        </w:tc>
        <w:tc>
          <w:tcPr>
            <w:tcW w:w="27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其他应付款</w:t>
            </w:r>
          </w:p>
        </w:tc>
        <w:tc>
          <w:tcPr>
            <w:tcW w:w="1056" w:type="dxa"/>
            <w:vMerge w:val="continue"/>
            <w:tcBorders>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3008" w:type="dxa"/>
            <w:vMerge w:val="continue"/>
            <w:tcBorders>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32</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2303</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应付政府补贴款</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2302</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应付政府补贴款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33</w:t>
            </w:r>
          </w:p>
        </w:tc>
        <w:tc>
          <w:tcPr>
            <w:tcW w:w="10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2307</w:t>
            </w:r>
          </w:p>
        </w:tc>
        <w:tc>
          <w:tcPr>
            <w:tcW w:w="27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其他应付款</w:t>
            </w:r>
          </w:p>
        </w:tc>
        <w:tc>
          <w:tcPr>
            <w:tcW w:w="10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2305</w:t>
            </w:r>
          </w:p>
        </w:tc>
        <w:tc>
          <w:tcPr>
            <w:tcW w:w="300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其他应付款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34</w:t>
            </w:r>
          </w:p>
        </w:tc>
        <w:tc>
          <w:tcPr>
            <w:tcW w:w="10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2502</w:t>
            </w:r>
          </w:p>
        </w:tc>
        <w:tc>
          <w:tcPr>
            <w:tcW w:w="27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长期应付款</w:t>
            </w:r>
          </w:p>
        </w:tc>
        <w:tc>
          <w:tcPr>
            <w:tcW w:w="10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2401</w:t>
            </w:r>
          </w:p>
        </w:tc>
        <w:tc>
          <w:tcPr>
            <w:tcW w:w="300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长期应付款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35</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2901</w:t>
            </w:r>
          </w:p>
        </w:tc>
        <w:tc>
          <w:tcPr>
            <w:tcW w:w="27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受托代理负债</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2901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受托代理负债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三、净资产类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36</w:t>
            </w:r>
          </w:p>
        </w:tc>
        <w:tc>
          <w:tcPr>
            <w:tcW w:w="1056"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3001</w:t>
            </w:r>
          </w:p>
        </w:tc>
        <w:tc>
          <w:tcPr>
            <w:tcW w:w="2752"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累计盈余</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3001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财政拨款结转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1056" w:type="dxa"/>
            <w:vMerge w:val="continue"/>
            <w:tcBorders>
              <w:left w:val="single" w:color="auto" w:sz="4" w:space="0"/>
              <w:right w:val="single" w:color="auto" w:sz="4" w:space="0"/>
            </w:tcBorders>
          </w:tcPr>
          <w:p>
            <w:pPr>
              <w:rPr>
                <w:rFonts w:ascii="Times New Roman" w:hAnsi="Times New Roman" w:eastAsia="仿宋_GB2312" w:cs="Times New Roman"/>
                <w:sz w:val="28"/>
                <w:szCs w:val="28"/>
              </w:rPr>
            </w:pPr>
          </w:p>
        </w:tc>
        <w:tc>
          <w:tcPr>
            <w:tcW w:w="2752" w:type="dxa"/>
            <w:vMerge w:val="continue"/>
            <w:tcBorders>
              <w:left w:val="single" w:color="auto" w:sz="4" w:space="0"/>
              <w:right w:val="single" w:color="auto" w:sz="4" w:space="0"/>
            </w:tcBorders>
          </w:tcPr>
          <w:p>
            <w:pPr>
              <w:rPr>
                <w:rFonts w:ascii="Times New Roman" w:hAnsi="Times New Roman" w:eastAsia="仿宋_GB2312" w:cs="Times New Roman"/>
                <w:sz w:val="28"/>
                <w:szCs w:val="28"/>
              </w:rPr>
            </w:pP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3002</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财政拨款结余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1056" w:type="dxa"/>
            <w:vMerge w:val="continue"/>
            <w:tcBorders>
              <w:left w:val="single" w:color="auto" w:sz="4" w:space="0"/>
              <w:right w:val="single" w:color="auto" w:sz="4" w:space="0"/>
            </w:tcBorders>
          </w:tcPr>
          <w:p>
            <w:pPr>
              <w:rPr>
                <w:rFonts w:ascii="Times New Roman" w:hAnsi="Times New Roman" w:eastAsia="仿宋_GB2312" w:cs="Times New Roman"/>
                <w:sz w:val="28"/>
                <w:szCs w:val="28"/>
              </w:rPr>
            </w:pPr>
          </w:p>
        </w:tc>
        <w:tc>
          <w:tcPr>
            <w:tcW w:w="2752" w:type="dxa"/>
            <w:vMerge w:val="continue"/>
            <w:tcBorders>
              <w:left w:val="single" w:color="auto" w:sz="4" w:space="0"/>
              <w:right w:val="single" w:color="auto" w:sz="4" w:space="0"/>
            </w:tcBorders>
          </w:tcPr>
          <w:p>
            <w:pPr>
              <w:rPr>
                <w:rFonts w:ascii="Times New Roman" w:hAnsi="Times New Roman" w:eastAsia="仿宋_GB2312" w:cs="Times New Roman"/>
                <w:sz w:val="28"/>
                <w:szCs w:val="28"/>
              </w:rPr>
            </w:pPr>
          </w:p>
        </w:tc>
        <w:tc>
          <w:tcPr>
            <w:tcW w:w="10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3101</w:t>
            </w:r>
          </w:p>
        </w:tc>
        <w:tc>
          <w:tcPr>
            <w:tcW w:w="300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其他资金结转结余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1056"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c>
          <w:tcPr>
            <w:tcW w:w="2752"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3501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资产基金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1056" w:type="dxa"/>
            <w:vMerge w:val="continue"/>
            <w:tcBorders>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2752" w:type="dxa"/>
            <w:vMerge w:val="continue"/>
            <w:tcBorders>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3502</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待偿债净资产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四、预算结余类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37</w:t>
            </w:r>
          </w:p>
        </w:tc>
        <w:tc>
          <w:tcPr>
            <w:tcW w:w="1056" w:type="dxa"/>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8101</w:t>
            </w:r>
          </w:p>
        </w:tc>
        <w:tc>
          <w:tcPr>
            <w:tcW w:w="2752" w:type="dxa"/>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财政拨款结转</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3001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财政拨款结转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38</w:t>
            </w:r>
          </w:p>
        </w:tc>
        <w:tc>
          <w:tcPr>
            <w:tcW w:w="1056" w:type="dxa"/>
            <w:tcBorders>
              <w:left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8102</w:t>
            </w:r>
          </w:p>
        </w:tc>
        <w:tc>
          <w:tcPr>
            <w:tcW w:w="2752" w:type="dxa"/>
            <w:tcBorders>
              <w:left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财政拨款结余</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3002</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财政拨款结余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39</w:t>
            </w:r>
          </w:p>
        </w:tc>
        <w:tc>
          <w:tcPr>
            <w:tcW w:w="1056" w:type="dxa"/>
            <w:tcBorders>
              <w:left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8201</w:t>
            </w:r>
          </w:p>
        </w:tc>
        <w:tc>
          <w:tcPr>
            <w:tcW w:w="2752" w:type="dxa"/>
            <w:tcBorders>
              <w:left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非财政拨款结转</w:t>
            </w:r>
          </w:p>
        </w:tc>
        <w:tc>
          <w:tcPr>
            <w:tcW w:w="1056"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3101</w:t>
            </w:r>
          </w:p>
        </w:tc>
        <w:tc>
          <w:tcPr>
            <w:tcW w:w="3008"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其他资金结转结余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40</w:t>
            </w:r>
          </w:p>
        </w:tc>
        <w:tc>
          <w:tcPr>
            <w:tcW w:w="1056" w:type="dxa"/>
            <w:tcBorders>
              <w:left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8202</w:t>
            </w:r>
          </w:p>
        </w:tc>
        <w:tc>
          <w:tcPr>
            <w:tcW w:w="2752" w:type="dxa"/>
            <w:tcBorders>
              <w:left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非财政拨款结余</w:t>
            </w:r>
          </w:p>
        </w:tc>
        <w:tc>
          <w:tcPr>
            <w:tcW w:w="1056" w:type="dxa"/>
            <w:vMerge w:val="continue"/>
            <w:tcBorders>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p>
        </w:tc>
        <w:tc>
          <w:tcPr>
            <w:tcW w:w="3008" w:type="dxa"/>
            <w:vMerge w:val="continue"/>
            <w:tcBorders>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41</w:t>
            </w:r>
          </w:p>
        </w:tc>
        <w:tc>
          <w:tcPr>
            <w:tcW w:w="1056"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8001</w:t>
            </w:r>
          </w:p>
        </w:tc>
        <w:tc>
          <w:tcPr>
            <w:tcW w:w="2752"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资金结存（借方）</w:t>
            </w: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3001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财政拨款结转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1056"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c>
          <w:tcPr>
            <w:tcW w:w="2752"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3002</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财政拨款结余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1056"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c>
          <w:tcPr>
            <w:tcW w:w="2752"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c>
          <w:tcPr>
            <w:tcW w:w="105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3101</w:t>
            </w:r>
          </w:p>
        </w:tc>
        <w:tc>
          <w:tcPr>
            <w:tcW w:w="300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其他资金结转结余</w:t>
            </w:r>
          </w:p>
        </w:tc>
      </w:tr>
    </w:tbl>
    <w:p>
      <w:pPr>
        <w:widowControl/>
        <w:jc w:val="left"/>
        <w:rPr>
          <w:rFonts w:ascii="Times New Roman" w:hAnsi="Times New Roman" w:eastAsia="仿宋_GB2312" w:cs="Times New Roman"/>
          <w:sz w:val="28"/>
          <w:szCs w:val="28"/>
        </w:rPr>
      </w:pPr>
    </w:p>
    <w:sectPr>
      <w:headerReference r:id="rId3" w:type="default"/>
      <w:footerReference r:id="rId4"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Fonts w:cs="Calibri"/>
      </w:rPr>
      <w:fldChar w:fldCharType="begin"/>
    </w:r>
    <w:r>
      <w:rPr>
        <w:rStyle w:val="9"/>
        <w:rFonts w:cs="Calibri"/>
      </w:rPr>
      <w:instrText xml:space="preserve">PAGE  </w:instrText>
    </w:r>
    <w:r>
      <w:rPr>
        <w:rStyle w:val="9"/>
        <w:rFonts w:cs="Calibri"/>
      </w:rPr>
      <w:fldChar w:fldCharType="separate"/>
    </w:r>
    <w:r>
      <w:rPr>
        <w:rStyle w:val="9"/>
        <w:rFonts w:cs="Calibri"/>
      </w:rPr>
      <w:t>1</w:t>
    </w:r>
    <w:r>
      <w:rPr>
        <w:rStyle w:val="9"/>
        <w:rFonts w:cs="Calibri"/>
      </w:rPr>
      <w:fldChar w:fldCharType="end"/>
    </w:r>
  </w:p>
  <w:p>
    <w:pPr>
      <w:pStyle w:val="5"/>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643" w:firstLineChars="200"/>
      <w:jc w:val="both"/>
      <w:rPr>
        <w:rFonts w:hint="eastAsia"/>
        <w:b/>
        <w:bCs/>
        <w:color w:val="auto"/>
        <w:sz w:val="32"/>
        <w:szCs w:val="32"/>
        <w:u w:val="none"/>
        <w:lang w:val="en-US" w:eastAsia="zh-CN"/>
      </w:rPr>
    </w:pPr>
    <w:r>
      <w:rPr>
        <w:rFonts w:hint="eastAsia" w:eastAsia="宋体"/>
        <w:b/>
        <w:bCs/>
        <w:sz w:val="32"/>
        <w:szCs w:val="32"/>
        <w:lang w:eastAsia="zh-CN"/>
      </w:rPr>
      <w:drawing>
        <wp:anchor distT="0" distB="0" distL="114300" distR="114300" simplePos="0" relativeHeight="251658240" behindDoc="1" locked="0" layoutInCell="1" allowOverlap="1">
          <wp:simplePos x="0" y="0"/>
          <wp:positionH relativeFrom="column">
            <wp:posOffset>4581525</wp:posOffset>
          </wp:positionH>
          <wp:positionV relativeFrom="paragraph">
            <wp:posOffset>-370205</wp:posOffset>
          </wp:positionV>
          <wp:extent cx="818515" cy="818515"/>
          <wp:effectExtent l="0" t="0" r="635" b="635"/>
          <wp:wrapNone/>
          <wp:docPr id="1" name="图片 1" descr="内控云平台公众号二维码20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内控云平台公众号二维码2018-5-7"/>
                  <pic:cNvPicPr>
                    <a:picLocks noChangeAspect="1"/>
                  </pic:cNvPicPr>
                </pic:nvPicPr>
                <pic:blipFill>
                  <a:blip r:embed="rId1"/>
                  <a:stretch>
                    <a:fillRect/>
                  </a:stretch>
                </pic:blipFill>
                <pic:spPr>
                  <a:xfrm>
                    <a:off x="0" y="0"/>
                    <a:ext cx="818515" cy="818515"/>
                  </a:xfrm>
                  <a:prstGeom prst="rect">
                    <a:avLst/>
                  </a:prstGeom>
                  <a:noFill/>
                  <a:ln w="9525">
                    <a:noFill/>
                  </a:ln>
                </pic:spPr>
              </pic:pic>
            </a:graphicData>
          </a:graphic>
        </wp:anchor>
      </w:drawing>
    </w:r>
    <w:r>
      <w:rPr>
        <w:rFonts w:hint="eastAsia" w:eastAsia="宋体"/>
        <w:b/>
        <w:bCs/>
        <w:sz w:val="32"/>
        <w:szCs w:val="32"/>
        <w:lang w:eastAsia="zh-CN"/>
      </w:rPr>
      <w:t>找制度流程</w:t>
    </w:r>
    <w:r>
      <w:rPr>
        <w:rFonts w:hint="eastAsia"/>
        <w:b/>
        <w:bCs/>
        <w:sz w:val="32"/>
        <w:szCs w:val="32"/>
        <w:lang w:val="en-US" w:eastAsia="zh-CN"/>
      </w:rPr>
      <w:t xml:space="preserve"> 上内控云平台 </w:t>
    </w:r>
    <w:r>
      <w:rPr>
        <w:rFonts w:hint="eastAsia"/>
        <w:b/>
        <w:bCs/>
        <w:color w:val="FF0000"/>
        <w:sz w:val="32"/>
        <w:szCs w:val="32"/>
        <w:u w:val="none"/>
        <w:lang w:val="en-US" w:eastAsia="zh-CN"/>
      </w:rPr>
      <w:fldChar w:fldCharType="begin"/>
    </w:r>
    <w:r>
      <w:rPr>
        <w:rFonts w:hint="eastAsia"/>
        <w:b/>
        <w:bCs/>
        <w:color w:val="FF0000"/>
        <w:sz w:val="32"/>
        <w:szCs w:val="32"/>
        <w:u w:val="none"/>
        <w:lang w:val="en-US" w:eastAsia="zh-CN"/>
      </w:rPr>
      <w:instrText xml:space="preserve"> HYPERLINK "http://www.nkypt.com" </w:instrText>
    </w:r>
    <w:r>
      <w:rPr>
        <w:rFonts w:hint="eastAsia"/>
        <w:b/>
        <w:bCs/>
        <w:color w:val="FF0000"/>
        <w:sz w:val="32"/>
        <w:szCs w:val="32"/>
        <w:u w:val="none"/>
        <w:lang w:val="en-US" w:eastAsia="zh-CN"/>
      </w:rPr>
      <w:fldChar w:fldCharType="separate"/>
    </w:r>
    <w:r>
      <w:rPr>
        <w:rStyle w:val="10"/>
        <w:rFonts w:hint="eastAsia"/>
        <w:b/>
        <w:bCs/>
        <w:color w:val="FF0000"/>
        <w:sz w:val="32"/>
        <w:szCs w:val="32"/>
        <w:u w:val="none"/>
        <w:lang w:val="en-US" w:eastAsia="zh-CN"/>
      </w:rPr>
      <w:t>www.nkypt.com</w:t>
    </w:r>
    <w:r>
      <w:rPr>
        <w:rFonts w:hint="eastAsia"/>
        <w:b/>
        <w:bCs/>
        <w:color w:val="FF0000"/>
        <w:sz w:val="32"/>
        <w:szCs w:val="32"/>
        <w:u w:val="none"/>
        <w:lang w:val="en-US" w:eastAsia="zh-CN"/>
      </w:rPr>
      <w:fldChar w:fldCharType="end"/>
    </w:r>
  </w:p>
  <w:p>
    <w:pPr>
      <w:pStyle w:val="6"/>
      <w:ind w:firstLine="2108" w:firstLineChars="1000"/>
      <w:jc w:val="both"/>
      <w:rPr>
        <w:rFonts w:hint="eastAsia"/>
        <w:b/>
        <w:bCs/>
        <w:color w:val="auto"/>
        <w:sz w:val="32"/>
        <w:szCs w:val="32"/>
        <w:u w:val="none"/>
        <w:lang w:val="en-US" w:eastAsia="zh-CN"/>
      </w:rPr>
    </w:pPr>
    <w:r>
      <w:rPr>
        <w:rFonts w:hint="eastAsia"/>
        <w:b/>
        <w:bCs/>
        <w:color w:val="auto"/>
        <w:sz w:val="21"/>
        <w:szCs w:val="21"/>
        <w:u w:val="none"/>
        <w:lang w:val="en-US" w:eastAsia="zh-CN"/>
      </w:rPr>
      <w:t>全国统一服务热线</w:t>
    </w:r>
    <w:r>
      <w:rPr>
        <w:rFonts w:hint="eastAsia" w:ascii="宋体" w:hAnsi="宋体" w:eastAsia="宋体" w:cs="宋体"/>
        <w:b/>
        <w:bCs/>
        <w:color w:val="auto"/>
        <w:sz w:val="21"/>
        <w:szCs w:val="21"/>
        <w:u w:val="none"/>
        <w:lang w:val="en-US" w:eastAsia="zh-CN"/>
      </w:rPr>
      <w:t>：0755-82686519</w:t>
    </w:r>
  </w:p>
  <w:p>
    <w:pPr>
      <w:jc w:val="right"/>
    </w:pPr>
    <w:r>
      <w:rPr>
        <w:rFonts w:hint="eastAsia"/>
        <w:b/>
        <w:bCs/>
        <w:color w:val="auto"/>
        <w:sz w:val="24"/>
        <w:szCs w:val="24"/>
        <w:u w:val="none"/>
        <w:lang w:val="en-US" w:eastAsia="zh-CN"/>
      </w:rPr>
      <w:t xml:space="preserve">  </w:t>
    </w:r>
    <w:r>
      <w:rPr>
        <w:rFonts w:hint="eastAsia"/>
        <w:b/>
        <w:bCs/>
        <w:color w:val="auto"/>
        <w:sz w:val="18"/>
        <w:szCs w:val="18"/>
        <w:u w:val="none"/>
        <w:lang w:val="en-US" w:eastAsia="zh-CN"/>
      </w:rPr>
      <w:t xml:space="preserve">                </w:t>
    </w:r>
    <w:r>
      <w:rPr>
        <w:rFonts w:hint="eastAsia"/>
        <w:b/>
        <w:bCs/>
        <w:color w:val="auto"/>
        <w:sz w:val="32"/>
        <w:szCs w:val="32"/>
        <w:u w:val="none"/>
        <w:lang w:val="en-US" w:eastAsia="zh-CN"/>
      </w:rPr>
      <w:t xml:space="preserve">               </w: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46474"/>
    <w:rsid w:val="00005D88"/>
    <w:rsid w:val="000076B4"/>
    <w:rsid w:val="000120D3"/>
    <w:rsid w:val="000135AE"/>
    <w:rsid w:val="00013EAF"/>
    <w:rsid w:val="00017AE9"/>
    <w:rsid w:val="0004728E"/>
    <w:rsid w:val="000608C5"/>
    <w:rsid w:val="00060C61"/>
    <w:rsid w:val="0006424D"/>
    <w:rsid w:val="00077064"/>
    <w:rsid w:val="000865BB"/>
    <w:rsid w:val="00097886"/>
    <w:rsid w:val="000C1D85"/>
    <w:rsid w:val="000E0F5D"/>
    <w:rsid w:val="000E4EB0"/>
    <w:rsid w:val="000E535D"/>
    <w:rsid w:val="000F3DFA"/>
    <w:rsid w:val="00114C62"/>
    <w:rsid w:val="001154B5"/>
    <w:rsid w:val="00116DEE"/>
    <w:rsid w:val="0012106B"/>
    <w:rsid w:val="00137981"/>
    <w:rsid w:val="00145CFF"/>
    <w:rsid w:val="00146474"/>
    <w:rsid w:val="00162337"/>
    <w:rsid w:val="001630F5"/>
    <w:rsid w:val="001742C8"/>
    <w:rsid w:val="00175CD9"/>
    <w:rsid w:val="001824BE"/>
    <w:rsid w:val="001868CC"/>
    <w:rsid w:val="00194E91"/>
    <w:rsid w:val="0019766E"/>
    <w:rsid w:val="001A26CD"/>
    <w:rsid w:val="001B0391"/>
    <w:rsid w:val="001B0CCC"/>
    <w:rsid w:val="001C7797"/>
    <w:rsid w:val="001F524C"/>
    <w:rsid w:val="001F5761"/>
    <w:rsid w:val="001F7956"/>
    <w:rsid w:val="00214C77"/>
    <w:rsid w:val="00216E9B"/>
    <w:rsid w:val="00223F57"/>
    <w:rsid w:val="0022733F"/>
    <w:rsid w:val="00230CC6"/>
    <w:rsid w:val="00231900"/>
    <w:rsid w:val="00231AC9"/>
    <w:rsid w:val="002438E0"/>
    <w:rsid w:val="00255F6C"/>
    <w:rsid w:val="00260243"/>
    <w:rsid w:val="00261883"/>
    <w:rsid w:val="00270B6C"/>
    <w:rsid w:val="00273E48"/>
    <w:rsid w:val="00276798"/>
    <w:rsid w:val="00284822"/>
    <w:rsid w:val="002A5659"/>
    <w:rsid w:val="002B049D"/>
    <w:rsid w:val="002B3141"/>
    <w:rsid w:val="002B7B8E"/>
    <w:rsid w:val="002E7F66"/>
    <w:rsid w:val="002F4ADB"/>
    <w:rsid w:val="002F5C62"/>
    <w:rsid w:val="0030282F"/>
    <w:rsid w:val="00310024"/>
    <w:rsid w:val="00313937"/>
    <w:rsid w:val="0032209A"/>
    <w:rsid w:val="0033536E"/>
    <w:rsid w:val="003402AA"/>
    <w:rsid w:val="00342885"/>
    <w:rsid w:val="00347971"/>
    <w:rsid w:val="0036414E"/>
    <w:rsid w:val="00366085"/>
    <w:rsid w:val="0036611B"/>
    <w:rsid w:val="00374AAF"/>
    <w:rsid w:val="00375CBF"/>
    <w:rsid w:val="003767E4"/>
    <w:rsid w:val="00384B7C"/>
    <w:rsid w:val="003909DD"/>
    <w:rsid w:val="0039774D"/>
    <w:rsid w:val="003A23A5"/>
    <w:rsid w:val="003A4F59"/>
    <w:rsid w:val="003B7DD9"/>
    <w:rsid w:val="003F342B"/>
    <w:rsid w:val="003F3FA2"/>
    <w:rsid w:val="00424740"/>
    <w:rsid w:val="00426CD9"/>
    <w:rsid w:val="00430FFD"/>
    <w:rsid w:val="004315C7"/>
    <w:rsid w:val="00436B67"/>
    <w:rsid w:val="00441888"/>
    <w:rsid w:val="0044391C"/>
    <w:rsid w:val="0044777D"/>
    <w:rsid w:val="00465AEB"/>
    <w:rsid w:val="00466CE7"/>
    <w:rsid w:val="004A15F3"/>
    <w:rsid w:val="004A270A"/>
    <w:rsid w:val="004A2986"/>
    <w:rsid w:val="004A57D9"/>
    <w:rsid w:val="004C064C"/>
    <w:rsid w:val="004C08C9"/>
    <w:rsid w:val="004F3F18"/>
    <w:rsid w:val="004F59C9"/>
    <w:rsid w:val="004F62CE"/>
    <w:rsid w:val="00504048"/>
    <w:rsid w:val="00505C34"/>
    <w:rsid w:val="0053058E"/>
    <w:rsid w:val="00540F09"/>
    <w:rsid w:val="00542275"/>
    <w:rsid w:val="005445AE"/>
    <w:rsid w:val="00551337"/>
    <w:rsid w:val="00555419"/>
    <w:rsid w:val="005864FA"/>
    <w:rsid w:val="00587449"/>
    <w:rsid w:val="00596C61"/>
    <w:rsid w:val="00597F44"/>
    <w:rsid w:val="005A076D"/>
    <w:rsid w:val="005B2A6B"/>
    <w:rsid w:val="005B3A3C"/>
    <w:rsid w:val="005B59B8"/>
    <w:rsid w:val="005C09FC"/>
    <w:rsid w:val="005C770C"/>
    <w:rsid w:val="005C78FE"/>
    <w:rsid w:val="005D1C87"/>
    <w:rsid w:val="00610734"/>
    <w:rsid w:val="00611496"/>
    <w:rsid w:val="00612B82"/>
    <w:rsid w:val="006141E1"/>
    <w:rsid w:val="00623920"/>
    <w:rsid w:val="00627C91"/>
    <w:rsid w:val="00635D35"/>
    <w:rsid w:val="00637D8A"/>
    <w:rsid w:val="00644EF0"/>
    <w:rsid w:val="00644F5A"/>
    <w:rsid w:val="0065140A"/>
    <w:rsid w:val="006605F7"/>
    <w:rsid w:val="00670D97"/>
    <w:rsid w:val="00673378"/>
    <w:rsid w:val="00673FFD"/>
    <w:rsid w:val="00682CDB"/>
    <w:rsid w:val="006A235C"/>
    <w:rsid w:val="006A41C0"/>
    <w:rsid w:val="006A4232"/>
    <w:rsid w:val="006B742D"/>
    <w:rsid w:val="006C34F3"/>
    <w:rsid w:val="006D3790"/>
    <w:rsid w:val="006E74D5"/>
    <w:rsid w:val="006F0F44"/>
    <w:rsid w:val="006F3619"/>
    <w:rsid w:val="006F67CD"/>
    <w:rsid w:val="006F7361"/>
    <w:rsid w:val="00700679"/>
    <w:rsid w:val="0070080D"/>
    <w:rsid w:val="00702DF1"/>
    <w:rsid w:val="00703280"/>
    <w:rsid w:val="00703B11"/>
    <w:rsid w:val="00713215"/>
    <w:rsid w:val="007344DD"/>
    <w:rsid w:val="0073484B"/>
    <w:rsid w:val="0074624E"/>
    <w:rsid w:val="00747855"/>
    <w:rsid w:val="007521C6"/>
    <w:rsid w:val="0076110C"/>
    <w:rsid w:val="00761A15"/>
    <w:rsid w:val="00786DDC"/>
    <w:rsid w:val="00787D05"/>
    <w:rsid w:val="007916FD"/>
    <w:rsid w:val="00793183"/>
    <w:rsid w:val="007B4126"/>
    <w:rsid w:val="007B4B24"/>
    <w:rsid w:val="007C7EE4"/>
    <w:rsid w:val="007F25E0"/>
    <w:rsid w:val="007F6FBD"/>
    <w:rsid w:val="008013E6"/>
    <w:rsid w:val="00801B3D"/>
    <w:rsid w:val="00802F75"/>
    <w:rsid w:val="008032FD"/>
    <w:rsid w:val="00834556"/>
    <w:rsid w:val="00850B35"/>
    <w:rsid w:val="00855E8D"/>
    <w:rsid w:val="00856911"/>
    <w:rsid w:val="008635D8"/>
    <w:rsid w:val="0087357C"/>
    <w:rsid w:val="00875125"/>
    <w:rsid w:val="0087572D"/>
    <w:rsid w:val="00880E50"/>
    <w:rsid w:val="00885246"/>
    <w:rsid w:val="00885E8E"/>
    <w:rsid w:val="0089033A"/>
    <w:rsid w:val="00894D46"/>
    <w:rsid w:val="008956F0"/>
    <w:rsid w:val="008A7962"/>
    <w:rsid w:val="008B1A39"/>
    <w:rsid w:val="008B2B93"/>
    <w:rsid w:val="008B626F"/>
    <w:rsid w:val="008C30B0"/>
    <w:rsid w:val="008D2A58"/>
    <w:rsid w:val="008D533A"/>
    <w:rsid w:val="008D7621"/>
    <w:rsid w:val="008E4B9B"/>
    <w:rsid w:val="008E598D"/>
    <w:rsid w:val="008F33AD"/>
    <w:rsid w:val="008F3DA6"/>
    <w:rsid w:val="008F6A48"/>
    <w:rsid w:val="008F6C83"/>
    <w:rsid w:val="008F72E1"/>
    <w:rsid w:val="009000A5"/>
    <w:rsid w:val="009114F4"/>
    <w:rsid w:val="00917713"/>
    <w:rsid w:val="0092065C"/>
    <w:rsid w:val="00922615"/>
    <w:rsid w:val="00923526"/>
    <w:rsid w:val="009247D8"/>
    <w:rsid w:val="00944EDA"/>
    <w:rsid w:val="009508E5"/>
    <w:rsid w:val="00953136"/>
    <w:rsid w:val="00955542"/>
    <w:rsid w:val="00960FE4"/>
    <w:rsid w:val="00963233"/>
    <w:rsid w:val="0097117F"/>
    <w:rsid w:val="00972089"/>
    <w:rsid w:val="009C27B7"/>
    <w:rsid w:val="009C606F"/>
    <w:rsid w:val="009D1CE5"/>
    <w:rsid w:val="009D692A"/>
    <w:rsid w:val="009E557A"/>
    <w:rsid w:val="009F19A9"/>
    <w:rsid w:val="009F2219"/>
    <w:rsid w:val="009F3275"/>
    <w:rsid w:val="009F5EC0"/>
    <w:rsid w:val="00A05CF4"/>
    <w:rsid w:val="00A107FB"/>
    <w:rsid w:val="00A15628"/>
    <w:rsid w:val="00A5497A"/>
    <w:rsid w:val="00A604C3"/>
    <w:rsid w:val="00A735D3"/>
    <w:rsid w:val="00A93A6C"/>
    <w:rsid w:val="00A93BD3"/>
    <w:rsid w:val="00AA57DA"/>
    <w:rsid w:val="00AC1488"/>
    <w:rsid w:val="00AC65CE"/>
    <w:rsid w:val="00AE75BE"/>
    <w:rsid w:val="00B008E7"/>
    <w:rsid w:val="00B00C30"/>
    <w:rsid w:val="00B15980"/>
    <w:rsid w:val="00B17544"/>
    <w:rsid w:val="00B26EBD"/>
    <w:rsid w:val="00B3511D"/>
    <w:rsid w:val="00B368A8"/>
    <w:rsid w:val="00B552C9"/>
    <w:rsid w:val="00B660BE"/>
    <w:rsid w:val="00B83A34"/>
    <w:rsid w:val="00B95E0D"/>
    <w:rsid w:val="00BA6FF9"/>
    <w:rsid w:val="00BB2996"/>
    <w:rsid w:val="00BB2B21"/>
    <w:rsid w:val="00BB4F01"/>
    <w:rsid w:val="00BC0091"/>
    <w:rsid w:val="00BC1E2B"/>
    <w:rsid w:val="00BC25C0"/>
    <w:rsid w:val="00BE4DB2"/>
    <w:rsid w:val="00BF3D8E"/>
    <w:rsid w:val="00C00BE6"/>
    <w:rsid w:val="00C02561"/>
    <w:rsid w:val="00C07676"/>
    <w:rsid w:val="00C120A4"/>
    <w:rsid w:val="00C15F60"/>
    <w:rsid w:val="00C17C67"/>
    <w:rsid w:val="00C231C4"/>
    <w:rsid w:val="00C248F7"/>
    <w:rsid w:val="00C34F52"/>
    <w:rsid w:val="00C43298"/>
    <w:rsid w:val="00C73683"/>
    <w:rsid w:val="00C83504"/>
    <w:rsid w:val="00C8505D"/>
    <w:rsid w:val="00CB0E28"/>
    <w:rsid w:val="00CB18E0"/>
    <w:rsid w:val="00CC45D0"/>
    <w:rsid w:val="00CE4815"/>
    <w:rsid w:val="00CF1638"/>
    <w:rsid w:val="00CF4A94"/>
    <w:rsid w:val="00CF6A72"/>
    <w:rsid w:val="00D072E6"/>
    <w:rsid w:val="00D5324C"/>
    <w:rsid w:val="00D53D09"/>
    <w:rsid w:val="00D65ACE"/>
    <w:rsid w:val="00D766DB"/>
    <w:rsid w:val="00D84AE4"/>
    <w:rsid w:val="00D87196"/>
    <w:rsid w:val="00DA213C"/>
    <w:rsid w:val="00DA507F"/>
    <w:rsid w:val="00DA6B45"/>
    <w:rsid w:val="00DC2CE1"/>
    <w:rsid w:val="00DC72F7"/>
    <w:rsid w:val="00DD33D1"/>
    <w:rsid w:val="00DD6435"/>
    <w:rsid w:val="00DF7738"/>
    <w:rsid w:val="00E04F1A"/>
    <w:rsid w:val="00E27956"/>
    <w:rsid w:val="00E30C65"/>
    <w:rsid w:val="00E35081"/>
    <w:rsid w:val="00E515DE"/>
    <w:rsid w:val="00E655DD"/>
    <w:rsid w:val="00E876B6"/>
    <w:rsid w:val="00E87A0A"/>
    <w:rsid w:val="00EA3F35"/>
    <w:rsid w:val="00EA593B"/>
    <w:rsid w:val="00EA5DD1"/>
    <w:rsid w:val="00EB4AF7"/>
    <w:rsid w:val="00F01B7D"/>
    <w:rsid w:val="00F1225A"/>
    <w:rsid w:val="00F16A94"/>
    <w:rsid w:val="00F22B2C"/>
    <w:rsid w:val="00F36EED"/>
    <w:rsid w:val="00F41BD3"/>
    <w:rsid w:val="00F50F92"/>
    <w:rsid w:val="00F82163"/>
    <w:rsid w:val="00F830B0"/>
    <w:rsid w:val="00F85022"/>
    <w:rsid w:val="00FA20B6"/>
    <w:rsid w:val="00FA739C"/>
    <w:rsid w:val="00FA75E8"/>
    <w:rsid w:val="00FB02DC"/>
    <w:rsid w:val="00FB30F2"/>
    <w:rsid w:val="00FD4A4F"/>
    <w:rsid w:val="00FE1E3A"/>
    <w:rsid w:val="00FE7DFF"/>
    <w:rsid w:val="00FF2526"/>
    <w:rsid w:val="011A184B"/>
    <w:rsid w:val="128557CD"/>
    <w:rsid w:val="2E1936AE"/>
    <w:rsid w:val="3BE72F26"/>
    <w:rsid w:val="61487B02"/>
    <w:rsid w:val="62C54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0"/>
    <w:uiPriority w:val="0"/>
    <w:rPr>
      <w:b/>
      <w:bCs/>
    </w:rPr>
  </w:style>
  <w:style w:type="paragraph" w:styleId="3">
    <w:name w:val="annotation text"/>
    <w:basedOn w:val="1"/>
    <w:link w:val="16"/>
    <w:semiHidden/>
    <w:uiPriority w:val="0"/>
    <w:pPr>
      <w:jc w:val="left"/>
    </w:pPr>
  </w:style>
  <w:style w:type="paragraph" w:styleId="4">
    <w:name w:val="Balloon Text"/>
    <w:basedOn w:val="1"/>
    <w:link w:val="15"/>
    <w:semiHidden/>
    <w:qFormat/>
    <w:uiPriority w:val="0"/>
    <w:rPr>
      <w:sz w:val="18"/>
      <w:szCs w:val="18"/>
    </w:rPr>
  </w:style>
  <w:style w:type="paragraph" w:styleId="5">
    <w:name w:val="footer"/>
    <w:basedOn w:val="1"/>
    <w:link w:val="18"/>
    <w:qFormat/>
    <w:uiPriority w:val="0"/>
    <w:pPr>
      <w:tabs>
        <w:tab w:val="center" w:pos="4153"/>
        <w:tab w:val="right" w:pos="8306"/>
      </w:tabs>
      <w:snapToGrid w:val="0"/>
      <w:jc w:val="left"/>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7">
    <w:name w:val="footnote text"/>
    <w:basedOn w:val="1"/>
    <w:link w:val="17"/>
    <w:semiHidden/>
    <w:qFormat/>
    <w:uiPriority w:val="0"/>
    <w:pPr>
      <w:snapToGrid w:val="0"/>
      <w:jc w:val="left"/>
    </w:pPr>
    <w:rPr>
      <w:sz w:val="18"/>
      <w:szCs w:val="18"/>
    </w:rPr>
  </w:style>
  <w:style w:type="character" w:styleId="9">
    <w:name w:val="page number"/>
    <w:qFormat/>
    <w:uiPriority w:val="0"/>
    <w:rPr>
      <w:rFonts w:cs="Times New Roman"/>
    </w:rPr>
  </w:style>
  <w:style w:type="character" w:styleId="10">
    <w:name w:val="Hyperlink"/>
    <w:basedOn w:val="8"/>
    <w:qFormat/>
    <w:uiPriority w:val="0"/>
    <w:rPr>
      <w:color w:val="0000FF"/>
      <w:u w:val="single"/>
    </w:rPr>
  </w:style>
  <w:style w:type="character" w:styleId="11">
    <w:name w:val="annotation reference"/>
    <w:basedOn w:val="8"/>
    <w:qFormat/>
    <w:uiPriority w:val="0"/>
    <w:rPr>
      <w:sz w:val="21"/>
      <w:szCs w:val="21"/>
    </w:rPr>
  </w:style>
  <w:style w:type="character" w:styleId="12">
    <w:name w:val="footnote reference"/>
    <w:semiHidden/>
    <w:qFormat/>
    <w:uiPriority w:val="0"/>
    <w:rPr>
      <w:rFonts w:cs="Times New Roman"/>
      <w:vertAlign w:val="superscript"/>
    </w:rPr>
  </w:style>
  <w:style w:type="table" w:styleId="14">
    <w:name w:val="Table Grid"/>
    <w:basedOn w:val="13"/>
    <w:qFormat/>
    <w:uiPriority w:val="59"/>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5">
    <w:name w:val="批注框文本 Char"/>
    <w:link w:val="4"/>
    <w:semiHidden/>
    <w:qFormat/>
    <w:locked/>
    <w:uiPriority w:val="0"/>
    <w:rPr>
      <w:rFonts w:ascii="Calibri" w:hAnsi="Calibri" w:eastAsia="宋体" w:cs="Calibri"/>
      <w:kern w:val="2"/>
      <w:sz w:val="18"/>
      <w:szCs w:val="18"/>
      <w:lang w:val="en-US" w:eastAsia="zh-CN" w:bidi="ar-SA"/>
    </w:rPr>
  </w:style>
  <w:style w:type="character" w:customStyle="1" w:styleId="16">
    <w:name w:val="批注文字 Char"/>
    <w:link w:val="3"/>
    <w:semiHidden/>
    <w:locked/>
    <w:uiPriority w:val="0"/>
    <w:rPr>
      <w:rFonts w:ascii="Calibri" w:hAnsi="Calibri" w:eastAsia="宋体" w:cs="Calibri"/>
      <w:kern w:val="2"/>
      <w:sz w:val="21"/>
      <w:szCs w:val="21"/>
      <w:lang w:val="en-US" w:eastAsia="zh-CN" w:bidi="ar-SA"/>
    </w:rPr>
  </w:style>
  <w:style w:type="character" w:customStyle="1" w:styleId="17">
    <w:name w:val="脚注文本 Char"/>
    <w:link w:val="7"/>
    <w:semiHidden/>
    <w:qFormat/>
    <w:locked/>
    <w:uiPriority w:val="0"/>
    <w:rPr>
      <w:rFonts w:ascii="Calibri" w:hAnsi="Calibri" w:eastAsia="宋体" w:cs="Calibri"/>
      <w:kern w:val="2"/>
      <w:sz w:val="18"/>
      <w:szCs w:val="18"/>
      <w:lang w:val="en-US" w:eastAsia="zh-CN" w:bidi="ar-SA"/>
    </w:rPr>
  </w:style>
  <w:style w:type="character" w:customStyle="1" w:styleId="18">
    <w:name w:val="页脚 Char"/>
    <w:link w:val="5"/>
    <w:semiHidden/>
    <w:qFormat/>
    <w:locked/>
    <w:uiPriority w:val="0"/>
    <w:rPr>
      <w:rFonts w:ascii="Calibri" w:hAnsi="Calibri" w:eastAsia="宋体" w:cs="Calibri"/>
      <w:kern w:val="2"/>
      <w:sz w:val="18"/>
      <w:szCs w:val="18"/>
      <w:lang w:val="en-US" w:eastAsia="zh-CN" w:bidi="ar-SA"/>
    </w:rPr>
  </w:style>
  <w:style w:type="character" w:customStyle="1" w:styleId="19">
    <w:name w:val="页眉 Char"/>
    <w:link w:val="6"/>
    <w:qFormat/>
    <w:uiPriority w:val="0"/>
    <w:rPr>
      <w:rFonts w:ascii="Calibri" w:hAnsi="Calibri" w:cs="Calibri"/>
      <w:kern w:val="2"/>
      <w:sz w:val="18"/>
      <w:szCs w:val="18"/>
    </w:rPr>
  </w:style>
  <w:style w:type="character" w:customStyle="1" w:styleId="20">
    <w:name w:val="批注主题 Char"/>
    <w:basedOn w:val="16"/>
    <w:link w:val="2"/>
    <w:qFormat/>
    <w:uiPriority w:val="0"/>
    <w:rPr>
      <w:rFonts w:ascii="Calibri" w:hAnsi="Calibri" w:eastAsia="宋体" w:cs="Calibri"/>
      <w:b/>
      <w:bCs/>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774059-816E-44CB-8E63-97D8C0712D0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19</Pages>
  <Words>1315</Words>
  <Characters>7498</Characters>
  <Lines>62</Lines>
  <Paragraphs>17</Paragraphs>
  <TotalTime>1</TotalTime>
  <ScaleCrop>false</ScaleCrop>
  <LinksUpToDate>false</LinksUpToDate>
  <CharactersWithSpaces>8796</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2018-02-08T07:38:00Z</dcterms:created>
  <dc:creator>wy</dc:creator>
  <cp:lastModifiedBy>pc</cp:lastModifiedBy>
  <cp:lastPrinted>2018-02-02T08:41:00Z</cp:lastPrinted>
  <dcterms:modified xsi:type="dcterms:W3CDTF">2018-12-09T08:23:09Z</dcterms:modified>
  <dc:title>《政府会计制度》与《行政单位会计制度》有关衔接问题的处理规定（模拟测试稿）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