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6"/>
          <w:szCs w:val="36"/>
        </w:rPr>
      </w:pPr>
      <w:r>
        <w:rPr>
          <w:rFonts w:hint="eastAsia" w:ascii="华文中宋" w:hAnsi="华文中宋" w:eastAsia="华文中宋"/>
          <w:b/>
          <w:sz w:val="36"/>
          <w:szCs w:val="36"/>
        </w:rPr>
        <w:t xml:space="preserve">  关于国有林场和苗圃执行《政府会计制度——行政事业单位会计科目和报表》的衔接</w:t>
      </w:r>
      <w:bookmarkStart w:id="0" w:name="_GoBack"/>
      <w:bookmarkEnd w:id="0"/>
      <w:r>
        <w:rPr>
          <w:rFonts w:hint="eastAsia" w:ascii="华文中宋" w:hAnsi="华文中宋" w:eastAsia="华文中宋"/>
          <w:b/>
          <w:sz w:val="36"/>
          <w:szCs w:val="36"/>
        </w:rPr>
        <w:t>规定</w:t>
      </w:r>
    </w:p>
    <w:p>
      <w:pPr>
        <w:spacing w:line="360" w:lineRule="auto"/>
        <w:jc w:val="center"/>
        <w:rPr>
          <w:rFonts w:ascii="仿宋" w:hAnsi="仿宋" w:eastAsia="仿宋" w:cs="Times New Roman"/>
          <w:sz w:val="32"/>
          <w:szCs w:val="32"/>
        </w:rPr>
      </w:pPr>
    </w:p>
    <w:p>
      <w:pPr>
        <w:jc w:val="left"/>
        <w:rPr>
          <w:rFonts w:ascii="仿宋" w:hAnsi="仿宋" w:eastAsia="仿宋" w:cs="Times New Roman"/>
          <w:sz w:val="32"/>
          <w:szCs w:val="32"/>
        </w:rPr>
      </w:pPr>
      <w:r>
        <w:rPr>
          <w:rFonts w:hint="eastAsia" w:ascii="仿宋" w:hAnsi="仿宋" w:eastAsia="仿宋" w:cs="宋体"/>
          <w:sz w:val="32"/>
          <w:szCs w:val="32"/>
        </w:rPr>
        <w:t xml:space="preserve">    我部于</w:t>
      </w:r>
      <w:r>
        <w:rPr>
          <w:rFonts w:ascii="仿宋" w:hAnsi="仿宋" w:eastAsia="仿宋" w:cs="宋体"/>
          <w:sz w:val="32"/>
          <w:szCs w:val="32"/>
        </w:rPr>
        <w:t>201</w:t>
      </w:r>
      <w:r>
        <w:rPr>
          <w:rFonts w:hint="eastAsia" w:ascii="仿宋" w:hAnsi="仿宋" w:eastAsia="仿宋" w:cs="宋体"/>
          <w:sz w:val="32"/>
          <w:szCs w:val="32"/>
        </w:rPr>
        <w:t>7年10月24日印发了《政府会计制度——行政事业单位会计科目和报表》（财会〔2017〕25号，以下简称新制度）。原执行《国有林场和苗圃会计制度(暂行)》（财农字</w:t>
      </w:r>
      <w:r>
        <w:rPr>
          <w:rFonts w:ascii="仿宋" w:hAnsi="仿宋" w:eastAsia="仿宋" w:cs="宋体"/>
          <w:sz w:val="32"/>
          <w:szCs w:val="32"/>
        </w:rPr>
        <w:t>〔</w:t>
      </w:r>
      <w:r>
        <w:rPr>
          <w:rFonts w:hint="eastAsia" w:ascii="仿宋" w:hAnsi="仿宋" w:eastAsia="仿宋" w:cs="宋体"/>
          <w:sz w:val="32"/>
          <w:szCs w:val="32"/>
        </w:rPr>
        <w:t>1994</w:t>
      </w:r>
      <w:r>
        <w:rPr>
          <w:rFonts w:ascii="仿宋" w:hAnsi="仿宋" w:eastAsia="仿宋" w:cs="宋体"/>
          <w:sz w:val="32"/>
          <w:szCs w:val="32"/>
        </w:rPr>
        <w:t>〕</w:t>
      </w:r>
      <w:r>
        <w:rPr>
          <w:rFonts w:hint="eastAsia" w:ascii="仿宋" w:hAnsi="仿宋" w:eastAsia="仿宋" w:cs="宋体"/>
          <w:sz w:val="32"/>
          <w:szCs w:val="32"/>
        </w:rPr>
        <w:t>第371号</w:t>
      </w:r>
      <w:r>
        <w:rPr>
          <w:rFonts w:ascii="仿宋" w:hAnsi="仿宋" w:eastAsia="仿宋" w:cs="宋体"/>
          <w:sz w:val="32"/>
          <w:szCs w:val="32"/>
        </w:rPr>
        <w:t>）</w:t>
      </w:r>
      <w:r>
        <w:rPr>
          <w:rFonts w:hint="eastAsia" w:ascii="仿宋_GB2312" w:eastAsia="仿宋_GB2312"/>
          <w:sz w:val="32"/>
          <w:szCs w:val="32"/>
        </w:rPr>
        <w:t>和财政部有关事业单位会计核算、原国家林业局有关国有林场和苗圃会计核算的补充规定</w:t>
      </w:r>
      <w:r>
        <w:rPr>
          <w:rFonts w:hint="eastAsia" w:ascii="仿宋" w:hAnsi="仿宋" w:eastAsia="仿宋" w:cs="宋体"/>
          <w:sz w:val="32"/>
          <w:szCs w:val="32"/>
        </w:rPr>
        <w:t>(以下简称原制度）的国有林场和苗圃</w:t>
      </w:r>
      <w:r>
        <w:rPr>
          <w:rStyle w:val="13"/>
          <w:rFonts w:ascii="仿宋" w:hAnsi="仿宋" w:eastAsia="仿宋"/>
          <w:sz w:val="32"/>
          <w:szCs w:val="32"/>
        </w:rPr>
        <w:footnoteReference w:id="0"/>
      </w:r>
      <w:r>
        <w:rPr>
          <w:rFonts w:hint="eastAsia" w:ascii="仿宋" w:hAnsi="仿宋" w:eastAsia="仿宋" w:cs="宋体"/>
          <w:sz w:val="32"/>
          <w:szCs w:val="32"/>
        </w:rPr>
        <w:t>（以下简称林场），自</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起执行新制度，不再执行原制度。为了确保新旧会计制度顺利过渡，现对林场执行新制度及《关于国有林场和苗圃执行&lt;政府会计制度——行政事业单位会计科目和报表&gt;的补充规定》（以下简称补充规定）的有关衔接问题规定如下：</w:t>
      </w:r>
    </w:p>
    <w:p>
      <w:pPr>
        <w:rPr>
          <w:rFonts w:ascii="黑体" w:hAnsi="黑体" w:eastAsia="黑体" w:cs="Times New Roman"/>
          <w:bCs/>
          <w:sz w:val="32"/>
          <w:szCs w:val="32"/>
        </w:rPr>
      </w:pPr>
      <w:r>
        <w:rPr>
          <w:rFonts w:hint="eastAsia" w:ascii="仿宋" w:hAnsi="仿宋" w:eastAsia="仿宋" w:cs="宋体"/>
          <w:bCs/>
          <w:sz w:val="32"/>
          <w:szCs w:val="32"/>
        </w:rPr>
        <w:t xml:space="preserve">    </w:t>
      </w:r>
      <w:r>
        <w:rPr>
          <w:rFonts w:hint="eastAsia" w:ascii="黑体" w:hAnsi="黑体" w:eastAsia="黑体" w:cs="宋体"/>
          <w:bCs/>
          <w:sz w:val="32"/>
          <w:szCs w:val="32"/>
        </w:rPr>
        <w:t>一、新旧制度衔接总要求</w:t>
      </w:r>
    </w:p>
    <w:p>
      <w:pPr>
        <w:rPr>
          <w:rFonts w:ascii="仿宋" w:hAnsi="仿宋" w:eastAsia="仿宋" w:cs="Times New Roman"/>
          <w:sz w:val="32"/>
          <w:szCs w:val="32"/>
        </w:rPr>
      </w:pPr>
      <w:r>
        <w:rPr>
          <w:rFonts w:hint="eastAsia" w:ascii="仿宋" w:hAnsi="仿宋" w:eastAsia="仿宋" w:cs="宋体"/>
          <w:sz w:val="32"/>
          <w:szCs w:val="32"/>
        </w:rPr>
        <w:t xml:space="preserve">    （一）自</w:t>
      </w:r>
      <w:r>
        <w:rPr>
          <w:rFonts w:ascii="仿宋" w:hAnsi="仿宋" w:eastAsia="仿宋" w:cs="宋体"/>
          <w:sz w:val="32"/>
          <w:szCs w:val="32"/>
        </w:rPr>
        <w:t>201</w:t>
      </w:r>
      <w:r>
        <w:rPr>
          <w:rFonts w:hint="eastAsia" w:ascii="仿宋" w:hAnsi="仿宋" w:eastAsia="仿宋" w:cs="宋体"/>
          <w:sz w:val="32"/>
          <w:szCs w:val="32"/>
        </w:rPr>
        <w:t>9年１月１日起，林场应当严格按照新制度及补充规定进行会计核算、编报财务报表和预算会计报表。</w:t>
      </w:r>
    </w:p>
    <w:p>
      <w:pPr>
        <w:rPr>
          <w:rFonts w:ascii="仿宋" w:hAnsi="仿宋" w:eastAsia="仿宋" w:cs="Times New Roman"/>
          <w:sz w:val="32"/>
          <w:szCs w:val="32"/>
        </w:rPr>
      </w:pPr>
      <w:r>
        <w:rPr>
          <w:rFonts w:hint="eastAsia" w:ascii="仿宋" w:hAnsi="仿宋" w:eastAsia="仿宋" w:cs="宋体"/>
          <w:sz w:val="32"/>
          <w:szCs w:val="32"/>
        </w:rPr>
        <w:t xml:space="preserve">    （二）林场应当按照本规定做好新旧制度衔接的相关工作，主要包括以下几个方面：</w:t>
      </w:r>
    </w:p>
    <w:p>
      <w:pPr>
        <w:ind w:firstLine="640" w:firstLineChars="200"/>
        <w:rPr>
          <w:rFonts w:ascii="仿宋" w:hAnsi="仿宋" w:eastAsia="仿宋"/>
          <w:sz w:val="32"/>
          <w:szCs w:val="32"/>
        </w:rPr>
      </w:pPr>
      <w:r>
        <w:rPr>
          <w:rFonts w:ascii="仿宋" w:hAnsi="仿宋" w:eastAsia="仿宋" w:cs="宋体"/>
          <w:sz w:val="32"/>
          <w:szCs w:val="32"/>
        </w:rPr>
        <w:t>1.</w:t>
      </w:r>
      <w:r>
        <w:rPr>
          <w:rFonts w:hint="eastAsia" w:ascii="仿宋" w:hAnsi="仿宋" w:eastAsia="仿宋" w:cs="宋体"/>
          <w:sz w:val="32"/>
          <w:szCs w:val="32"/>
        </w:rPr>
        <w:t>根据原账编制2018年12月31日的</w:t>
      </w:r>
      <w:r>
        <w:rPr>
          <w:rFonts w:hint="eastAsia" w:ascii="仿宋" w:hAnsi="仿宋" w:eastAsia="仿宋"/>
          <w:sz w:val="32"/>
          <w:szCs w:val="32"/>
        </w:rPr>
        <w:t>科目余额表，并按照本规定要求，编制原账的部分科目余额明细表</w:t>
      </w:r>
      <w:r>
        <w:rPr>
          <w:rFonts w:hint="eastAsia" w:ascii="仿宋" w:hAnsi="仿宋" w:eastAsia="仿宋" w:cs="宋体"/>
          <w:sz w:val="32"/>
          <w:szCs w:val="32"/>
        </w:rPr>
        <w:t>（参见附表1、附表2）</w:t>
      </w:r>
      <w:r>
        <w:rPr>
          <w:rFonts w:hint="eastAsia" w:ascii="仿宋" w:hAnsi="仿宋" w:eastAsia="仿宋"/>
          <w:sz w:val="32"/>
          <w:szCs w:val="32"/>
        </w:rPr>
        <w:t>。</w:t>
      </w:r>
    </w:p>
    <w:p>
      <w:pPr>
        <w:ind w:firstLine="640" w:firstLineChars="200"/>
        <w:rPr>
          <w:rFonts w:ascii="仿宋" w:hAnsi="仿宋" w:eastAsia="仿宋" w:cs="Times New Roman"/>
          <w:sz w:val="32"/>
          <w:szCs w:val="32"/>
        </w:rPr>
      </w:pPr>
      <w:r>
        <w:rPr>
          <w:rFonts w:hint="eastAsia" w:ascii="仿宋" w:hAnsi="仿宋" w:eastAsia="仿宋" w:cs="宋体"/>
          <w:sz w:val="32"/>
          <w:szCs w:val="32"/>
        </w:rPr>
        <w:t>2.按照新制度设立</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日的新账。</w:t>
      </w:r>
    </w:p>
    <w:p>
      <w:pPr>
        <w:ind w:firstLine="640" w:firstLineChars="200"/>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按照本规定要求，登记新账的财务会计科目余额和预算结余科目余额，包括将原账科目余额转入新账财务会计科目、按照原账科目余额登记新账预算结余科目（林场新旧会计制度转账、登记新账科目对照表参见附表3），将未入账事项登记新账科目，并对相关新账科目余额进行调整。</w:t>
      </w:r>
    </w:p>
    <w:p>
      <w:pPr>
        <w:ind w:firstLine="640" w:firstLineChars="200"/>
        <w:rPr>
          <w:rFonts w:ascii="仿宋" w:hAnsi="仿宋" w:eastAsia="仿宋" w:cs="宋体"/>
          <w:sz w:val="32"/>
          <w:szCs w:val="32"/>
        </w:rPr>
      </w:pPr>
      <w:r>
        <w:rPr>
          <w:rFonts w:hint="eastAsia" w:ascii="仿宋" w:hAnsi="仿宋" w:eastAsia="仿宋" w:cs="宋体"/>
          <w:sz w:val="32"/>
          <w:szCs w:val="32"/>
        </w:rPr>
        <w:t>原账科目是指按照原制度规定设置的会计科目,</w:t>
      </w:r>
      <w:r>
        <w:rPr>
          <w:rFonts w:ascii="仿宋" w:hAnsi="仿宋" w:eastAsia="仿宋" w:cs="宋体"/>
          <w:sz w:val="32"/>
          <w:szCs w:val="32"/>
        </w:rPr>
        <w:t xml:space="preserve"> 以及按照财政部</w:t>
      </w:r>
      <w:r>
        <w:rPr>
          <w:rFonts w:hint="eastAsia" w:ascii="仿宋" w:hAnsi="仿宋" w:eastAsia="仿宋" w:cs="宋体"/>
          <w:sz w:val="32"/>
          <w:szCs w:val="32"/>
        </w:rPr>
        <w:t>有关事业单位会计核算、原国家林业局</w:t>
      </w:r>
      <w:r>
        <w:rPr>
          <w:rFonts w:ascii="仿宋" w:hAnsi="仿宋" w:eastAsia="仿宋" w:cs="宋体"/>
          <w:sz w:val="32"/>
          <w:szCs w:val="32"/>
        </w:rPr>
        <w:t>有关</w:t>
      </w:r>
      <w:r>
        <w:rPr>
          <w:rFonts w:hint="eastAsia" w:ascii="仿宋" w:hAnsi="仿宋" w:eastAsia="仿宋" w:cs="宋体"/>
          <w:sz w:val="32"/>
          <w:szCs w:val="32"/>
        </w:rPr>
        <w:t>国有林场和苗圃</w:t>
      </w:r>
      <w:r>
        <w:rPr>
          <w:rFonts w:ascii="仿宋" w:hAnsi="仿宋" w:eastAsia="仿宋" w:cs="宋体"/>
          <w:sz w:val="32"/>
          <w:szCs w:val="32"/>
        </w:rPr>
        <w:t>会计核算补充规定增设的会计科目</w:t>
      </w:r>
      <w:r>
        <w:rPr>
          <w:rFonts w:hint="eastAsia" w:ascii="仿宋" w:hAnsi="仿宋" w:eastAsia="仿宋" w:cs="宋体"/>
          <w:sz w:val="32"/>
          <w:szCs w:val="32"/>
        </w:rPr>
        <w:t>。</w:t>
      </w:r>
    </w:p>
    <w:p>
      <w:pPr>
        <w:ind w:firstLine="640" w:firstLineChars="200"/>
        <w:rPr>
          <w:rFonts w:ascii="仿宋" w:hAnsi="仿宋" w:eastAsia="仿宋" w:cs="Times New Roman"/>
          <w:sz w:val="32"/>
          <w:szCs w:val="32"/>
        </w:rPr>
      </w:pP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按照登记及调整后新账的各会计科目余额，编制2019年1月1日的科目余额表，作为新账各会计科目的期初余额。</w:t>
      </w:r>
    </w:p>
    <w:p>
      <w:pPr>
        <w:ind w:firstLine="640" w:firstLineChars="200"/>
        <w:rPr>
          <w:rFonts w:ascii="仿宋" w:hAnsi="仿宋" w:eastAsia="仿宋" w:cs="Times New Roman"/>
          <w:sz w:val="32"/>
          <w:szCs w:val="32"/>
        </w:rPr>
      </w:pP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根据新账各会计科目期初余额，按照新制度编制</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日资产负债表。</w:t>
      </w:r>
    </w:p>
    <w:p>
      <w:pPr>
        <w:rPr>
          <w:rFonts w:ascii="仿宋" w:hAnsi="仿宋" w:eastAsia="仿宋" w:cs="Times New Roman"/>
          <w:sz w:val="32"/>
          <w:szCs w:val="32"/>
        </w:rPr>
      </w:pPr>
      <w:r>
        <w:rPr>
          <w:rFonts w:hint="eastAsia" w:ascii="仿宋" w:hAnsi="仿宋" w:eastAsia="仿宋" w:cs="宋体"/>
          <w:sz w:val="32"/>
          <w:szCs w:val="32"/>
        </w:rPr>
        <w:t xml:space="preserve">   （三）及时调整会计信息系统。林场应当按照新制度要求对原有会计信息系统进行及时更新和调试，实现数据正确转换，确保新旧账套的有序衔接。</w:t>
      </w:r>
    </w:p>
    <w:p>
      <w:pPr>
        <w:ind w:firstLine="564"/>
        <w:rPr>
          <w:rFonts w:ascii="黑体" w:hAnsi="黑体" w:eastAsia="黑体" w:cs="Times New Roman"/>
          <w:bCs/>
          <w:sz w:val="32"/>
          <w:szCs w:val="32"/>
        </w:rPr>
      </w:pPr>
      <w:r>
        <w:rPr>
          <w:rFonts w:hint="eastAsia" w:ascii="黑体" w:hAnsi="黑体" w:eastAsia="黑体" w:cs="宋体"/>
          <w:bCs/>
          <w:sz w:val="32"/>
          <w:szCs w:val="32"/>
        </w:rPr>
        <w:t>二、财务会计科目的新旧衔接</w:t>
      </w:r>
    </w:p>
    <w:p>
      <w:pPr>
        <w:ind w:firstLine="564"/>
        <w:rPr>
          <w:rFonts w:ascii="仿宋" w:hAnsi="仿宋" w:eastAsia="仿宋" w:cs="Times New Roman"/>
          <w:sz w:val="32"/>
          <w:szCs w:val="32"/>
        </w:rPr>
      </w:pPr>
      <w:r>
        <w:rPr>
          <w:rFonts w:hint="eastAsia" w:ascii="仿宋" w:hAnsi="仿宋" w:eastAsia="仿宋" w:cs="宋体"/>
          <w:sz w:val="32"/>
          <w:szCs w:val="32"/>
        </w:rPr>
        <w:t>（一）将</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日原账会计科目余额转入新账财务会计科目</w:t>
      </w:r>
    </w:p>
    <w:p>
      <w:pPr>
        <w:rPr>
          <w:rFonts w:ascii="仿宋" w:hAnsi="仿宋" w:eastAsia="仿宋" w:cs="Times New Roman"/>
          <w:sz w:val="32"/>
          <w:szCs w:val="32"/>
        </w:rPr>
      </w:pPr>
      <w:r>
        <w:rPr>
          <w:rFonts w:ascii="仿宋" w:hAnsi="仿宋" w:eastAsia="仿宋" w:cs="宋体"/>
          <w:sz w:val="32"/>
          <w:szCs w:val="32"/>
        </w:rPr>
        <w:t xml:space="preserve">    1.</w:t>
      </w:r>
      <w:r>
        <w:rPr>
          <w:rFonts w:hint="eastAsia" w:ascii="仿宋" w:hAnsi="仿宋" w:eastAsia="仿宋" w:cs="宋体"/>
          <w:sz w:val="32"/>
          <w:szCs w:val="32"/>
        </w:rPr>
        <w:t>资产类</w:t>
      </w:r>
    </w:p>
    <w:p>
      <w:pPr>
        <w:ind w:firstLine="640" w:firstLineChars="200"/>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）“库存现金”（或“现金”）、“银行存款”、“其他货币资金”、</w:t>
      </w:r>
      <w:r>
        <w:rPr>
          <w:rFonts w:hint="eastAsia" w:ascii="仿宋" w:hAnsi="仿宋" w:eastAsia="仿宋" w:cs="宋体"/>
          <w:kern w:val="0"/>
          <w:sz w:val="32"/>
          <w:szCs w:val="32"/>
        </w:rPr>
        <w:t>“短期投资”、</w:t>
      </w:r>
      <w:r>
        <w:rPr>
          <w:rFonts w:hint="eastAsia" w:ascii="仿宋" w:hAnsi="仿宋" w:eastAsia="仿宋" w:cs="宋体"/>
          <w:sz w:val="32"/>
          <w:szCs w:val="32"/>
        </w:rPr>
        <w:t>“财政应返还额度”、</w:t>
      </w:r>
      <w:r>
        <w:rPr>
          <w:rFonts w:hint="eastAsia" w:ascii="仿宋" w:hAnsi="仿宋" w:eastAsia="仿宋" w:cs="宋体"/>
          <w:kern w:val="0"/>
          <w:sz w:val="32"/>
          <w:szCs w:val="32"/>
        </w:rPr>
        <w:t>“应收票据”、</w:t>
      </w:r>
      <w:r>
        <w:rPr>
          <w:rFonts w:hint="eastAsia" w:ascii="仿宋" w:hAnsi="仿宋" w:eastAsia="仿宋" w:cs="宋体"/>
          <w:sz w:val="32"/>
          <w:szCs w:val="32"/>
        </w:rPr>
        <w:t>“应收账款”、“预付账款”、“坏账准备”、“待摊费用”、“无形资产”、“待处理财产损溢”科目</w:t>
      </w:r>
    </w:p>
    <w:p>
      <w:pPr>
        <w:autoSpaceDE w:val="0"/>
        <w:autoSpaceDN w:val="0"/>
        <w:adjustRightInd w:val="0"/>
        <w:ind w:firstLine="640" w:firstLineChars="200"/>
        <w:jc w:val="left"/>
        <w:rPr>
          <w:rFonts w:ascii="仿宋" w:hAnsi="仿宋" w:eastAsia="仿宋" w:cs="宋体"/>
          <w:kern w:val="0"/>
          <w:sz w:val="32"/>
          <w:szCs w:val="32"/>
        </w:rPr>
      </w:pPr>
      <w:r>
        <w:rPr>
          <w:rFonts w:hint="eastAsia" w:ascii="仿宋" w:hAnsi="仿宋" w:eastAsia="仿宋" w:cs="宋体"/>
          <w:sz w:val="32"/>
          <w:szCs w:val="32"/>
        </w:rPr>
        <w:t>新制度设置了“库存现金”、“银行存款”、“其他货币资金”、</w:t>
      </w:r>
      <w:r>
        <w:rPr>
          <w:rFonts w:hint="eastAsia" w:ascii="仿宋" w:hAnsi="仿宋" w:eastAsia="仿宋" w:cs="宋体"/>
          <w:kern w:val="0"/>
          <w:sz w:val="32"/>
          <w:szCs w:val="32"/>
        </w:rPr>
        <w:t>“短期投资”、</w:t>
      </w:r>
      <w:r>
        <w:rPr>
          <w:rFonts w:hint="eastAsia" w:ascii="仿宋" w:hAnsi="仿宋" w:eastAsia="仿宋" w:cs="宋体"/>
          <w:sz w:val="32"/>
          <w:szCs w:val="32"/>
        </w:rPr>
        <w:t>“财政应返还额度”、</w:t>
      </w:r>
      <w:r>
        <w:rPr>
          <w:rFonts w:hint="eastAsia" w:ascii="仿宋" w:hAnsi="仿宋" w:eastAsia="仿宋" w:cs="宋体"/>
          <w:kern w:val="0"/>
          <w:sz w:val="32"/>
          <w:szCs w:val="32"/>
        </w:rPr>
        <w:t xml:space="preserve"> “应收票据”、</w:t>
      </w:r>
      <w:r>
        <w:rPr>
          <w:rFonts w:hint="eastAsia" w:ascii="仿宋" w:hAnsi="仿宋" w:eastAsia="仿宋" w:cs="宋体"/>
          <w:sz w:val="32"/>
          <w:szCs w:val="32"/>
        </w:rPr>
        <w:t>“应收账款”、“预付账款”、“坏账准备”、“待摊费用”、“无形资产”、“待处理财产损溢”</w:t>
      </w:r>
      <w:r>
        <w:rPr>
          <w:rFonts w:hint="eastAsia" w:ascii="仿宋" w:hAnsi="仿宋" w:eastAsia="仿宋" w:cs="宋体"/>
          <w:kern w:val="0"/>
          <w:sz w:val="32"/>
          <w:szCs w:val="32"/>
        </w:rPr>
        <w:t>科目，其核算内容与原账的上述相应科目的核算内容基本相同。转账时，应当将原账的上述科目余额直接转入新账的相应科目。其中，还应当将原账的“库存现金”、“银行存款”科目余额中属于新制度规定受托代理资产的金额，分别转入新账 “库存现金”、“银行存款”科目下的“受托代理资产”明细科目。</w:t>
      </w:r>
    </w:p>
    <w:p>
      <w:pPr>
        <w:ind w:firstLine="640" w:firstLineChars="200"/>
        <w:rPr>
          <w:rFonts w:ascii="仿宋" w:hAnsi="仿宋" w:eastAsia="仿宋" w:cs="宋体"/>
          <w:sz w:val="32"/>
          <w:szCs w:val="32"/>
        </w:rPr>
      </w:pPr>
      <w:r>
        <w:rPr>
          <w:rFonts w:hint="eastAsia" w:ascii="仿宋" w:hAnsi="仿宋" w:eastAsia="仿宋" w:cs="宋体"/>
          <w:sz w:val="32"/>
          <w:szCs w:val="32"/>
        </w:rPr>
        <w:t>（2）“内部往来”科目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有的林场在原账中使用“内部往来”科目，作为本单位内部核算科目，核算本单位内部各单位之间的往来款项，不在本单位的会计报表中反映。新旧衔接时不对原账的“内部往来”科目余额进行处理。</w:t>
      </w:r>
    </w:p>
    <w:p>
      <w:pPr>
        <w:ind w:firstLine="640" w:firstLineChars="200"/>
        <w:rPr>
          <w:rFonts w:ascii="仿宋" w:hAnsi="仿宋" w:eastAsia="仿宋" w:cs="宋体"/>
          <w:sz w:val="32"/>
          <w:szCs w:val="32"/>
        </w:rPr>
      </w:pPr>
      <w:r>
        <w:rPr>
          <w:rFonts w:hint="eastAsia" w:ascii="仿宋" w:hAnsi="仿宋" w:eastAsia="仿宋" w:cs="宋体"/>
          <w:kern w:val="0"/>
          <w:sz w:val="32"/>
          <w:szCs w:val="32"/>
        </w:rPr>
        <w:t>（3）</w:t>
      </w:r>
      <w:r>
        <w:rPr>
          <w:rFonts w:hint="eastAsia" w:ascii="仿宋" w:hAnsi="仿宋" w:eastAsia="仿宋" w:cs="宋体"/>
          <w:sz w:val="32"/>
          <w:szCs w:val="32"/>
        </w:rPr>
        <w:t>“其他应收款”科目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其他应收款”科目，该科目的核算内容与原账的“其他应收款”科目的核算内容基本相同。转账时，应当将原账的“其他应收款”科目余额转入新账的“其他应收款”科目。如果原账的“其他应收款”科目余额有应收股利，还应当将原账的“其他应收款”科目余额中应收股利的金额，转入新账的“应收股利”科目。</w:t>
      </w:r>
    </w:p>
    <w:p>
      <w:pPr>
        <w:ind w:firstLine="640" w:firstLineChars="200"/>
        <w:rPr>
          <w:rFonts w:ascii="仿宋" w:hAnsi="仿宋" w:eastAsia="仿宋" w:cs="宋体"/>
          <w:sz w:val="32"/>
          <w:szCs w:val="32"/>
        </w:rPr>
      </w:pPr>
      <w:r>
        <w:rPr>
          <w:rFonts w:hint="eastAsia" w:ascii="仿宋" w:hAnsi="仿宋" w:eastAsia="仿宋" w:cs="宋体"/>
          <w:sz w:val="32"/>
          <w:szCs w:val="32"/>
        </w:rPr>
        <w:t>（4）“库存物资”科目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有的林场在原账中使用“库存物资”科目，其核算内容包含了在途材料、材料、低值易耗品、产成品、分期收款发出商品等。新制度设置了“在途物品”、“库存物品”科目。转账时，应当将原账的</w:t>
      </w:r>
      <w:r>
        <w:rPr>
          <w:rFonts w:hint="eastAsia" w:ascii="仿宋" w:hAnsi="仿宋" w:eastAsia="仿宋" w:cs="宋体"/>
          <w:sz w:val="32"/>
          <w:szCs w:val="32"/>
        </w:rPr>
        <w:t>“库存物资”</w:t>
      </w:r>
      <w:r>
        <w:rPr>
          <w:rFonts w:hint="eastAsia" w:ascii="仿宋" w:hAnsi="仿宋" w:eastAsia="仿宋" w:cs="宋体"/>
          <w:kern w:val="0"/>
          <w:sz w:val="32"/>
          <w:szCs w:val="32"/>
        </w:rPr>
        <w:t>科目余额中属于在途物品的金额转入新账的“在途物品”科目，将原账的</w:t>
      </w:r>
      <w:r>
        <w:rPr>
          <w:rFonts w:hint="eastAsia" w:ascii="仿宋" w:hAnsi="仿宋" w:eastAsia="仿宋" w:cs="宋体"/>
          <w:sz w:val="32"/>
          <w:szCs w:val="32"/>
        </w:rPr>
        <w:t>“库存物资”</w:t>
      </w:r>
      <w:r>
        <w:rPr>
          <w:rFonts w:hint="eastAsia" w:ascii="仿宋" w:hAnsi="仿宋" w:eastAsia="仿宋" w:cs="宋体"/>
          <w:kern w:val="0"/>
          <w:sz w:val="32"/>
          <w:szCs w:val="32"/>
        </w:rPr>
        <w:t>科目余额减去在途物品金额后的差额转入新账的“库存物品”科目。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（5）“在途材料”、“材料”、“低值易耗品”、“产成品”、“分期收款发出商品”科目</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有的林场在原账中使用“在途材料”、“材料”、“低值易耗品”、“产成品”、“分期收款发出商品”科目。新制度设置了“在途物品”、“库存物品”科目。转账时，应当在新账的“库存物品”科目下设置“发出物品”明细科目，将原账的“分期收款发出商品”科目余额转入新账的“库存物品——发出物品”科目，将原账的</w:t>
      </w:r>
      <w:r>
        <w:rPr>
          <w:rFonts w:hint="eastAsia" w:ascii="仿宋" w:hAnsi="仿宋" w:eastAsia="仿宋" w:cs="宋体"/>
          <w:sz w:val="32"/>
          <w:szCs w:val="32"/>
        </w:rPr>
        <w:t>“</w:t>
      </w:r>
      <w:r>
        <w:rPr>
          <w:rFonts w:hint="eastAsia" w:ascii="仿宋" w:hAnsi="仿宋" w:eastAsia="仿宋" w:cs="宋体"/>
          <w:kern w:val="0"/>
          <w:sz w:val="32"/>
          <w:szCs w:val="32"/>
        </w:rPr>
        <w:t>在途材料</w:t>
      </w:r>
      <w:r>
        <w:rPr>
          <w:rFonts w:hint="eastAsia" w:ascii="仿宋" w:hAnsi="仿宋" w:eastAsia="仿宋" w:cs="宋体"/>
          <w:sz w:val="32"/>
          <w:szCs w:val="32"/>
        </w:rPr>
        <w:t>”</w:t>
      </w:r>
      <w:r>
        <w:rPr>
          <w:rFonts w:hint="eastAsia" w:ascii="仿宋" w:hAnsi="仿宋" w:eastAsia="仿宋" w:cs="宋体"/>
          <w:kern w:val="0"/>
          <w:sz w:val="32"/>
          <w:szCs w:val="32"/>
        </w:rPr>
        <w:t>科目余额转入新账的“在途物品”科目，将原账的“材料”、“低值易耗品”、“产成品”科目余额转入新账的“库存物品”科目相关明细科目。</w:t>
      </w:r>
    </w:p>
    <w:p>
      <w:pPr>
        <w:spacing w:line="600" w:lineRule="exact"/>
        <w:ind w:firstLine="640" w:firstLineChars="200"/>
        <w:rPr>
          <w:rFonts w:ascii="仿宋" w:hAnsi="仿宋" w:eastAsia="仿宋" w:cs="宋体"/>
          <w:sz w:val="32"/>
          <w:szCs w:val="32"/>
        </w:rPr>
      </w:pPr>
      <w:r>
        <w:rPr>
          <w:rFonts w:hint="eastAsia" w:ascii="仿宋" w:hAnsi="仿宋" w:eastAsia="仿宋" w:cs="宋体"/>
          <w:kern w:val="0"/>
          <w:sz w:val="32"/>
          <w:szCs w:val="32"/>
        </w:rPr>
        <w:t>（6）“</w:t>
      </w:r>
      <w:r>
        <w:rPr>
          <w:rFonts w:hint="eastAsia" w:ascii="仿宋" w:hAnsi="仿宋" w:eastAsia="仿宋" w:cs="宋体"/>
          <w:sz w:val="32"/>
          <w:szCs w:val="32"/>
        </w:rPr>
        <w:t>委托加工材料”科目</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新制度设置了“加工物品”科目，该科目的核算内容与原账的“</w:t>
      </w:r>
      <w:r>
        <w:rPr>
          <w:rFonts w:hint="eastAsia" w:ascii="仿宋" w:hAnsi="仿宋" w:eastAsia="仿宋" w:cs="宋体"/>
          <w:sz w:val="32"/>
          <w:szCs w:val="32"/>
        </w:rPr>
        <w:t>委托加工材料”</w:t>
      </w:r>
      <w:r>
        <w:rPr>
          <w:rFonts w:hint="eastAsia" w:ascii="仿宋" w:hAnsi="仿宋" w:eastAsia="仿宋" w:cs="宋体"/>
          <w:kern w:val="0"/>
          <w:sz w:val="32"/>
          <w:szCs w:val="32"/>
        </w:rPr>
        <w:t>科目的核算内容基本相同。转账时，应当将原账的“</w:t>
      </w:r>
      <w:r>
        <w:rPr>
          <w:rFonts w:hint="eastAsia" w:ascii="仿宋" w:hAnsi="仿宋" w:eastAsia="仿宋" w:cs="宋体"/>
          <w:sz w:val="32"/>
          <w:szCs w:val="32"/>
        </w:rPr>
        <w:t>委托加工材料”</w:t>
      </w:r>
      <w:r>
        <w:rPr>
          <w:rFonts w:hint="eastAsia" w:ascii="仿宋" w:hAnsi="仿宋" w:eastAsia="仿宋" w:cs="宋体"/>
          <w:kern w:val="0"/>
          <w:sz w:val="32"/>
          <w:szCs w:val="32"/>
        </w:rPr>
        <w:t>科目余额转入新账的“加工物品”科目。</w:t>
      </w:r>
    </w:p>
    <w:p>
      <w:pPr>
        <w:autoSpaceDE w:val="0"/>
        <w:autoSpaceDN w:val="0"/>
        <w:adjustRightInd w:val="0"/>
        <w:spacing w:line="600" w:lineRule="exact"/>
        <w:ind w:firstLine="640" w:firstLineChars="200"/>
        <w:jc w:val="left"/>
        <w:rPr>
          <w:rFonts w:ascii="仿宋" w:hAnsi="仿宋" w:eastAsia="仿宋" w:cs="Times New Roman"/>
          <w:kern w:val="0"/>
          <w:sz w:val="32"/>
          <w:szCs w:val="32"/>
        </w:rPr>
      </w:pPr>
      <w:r>
        <w:rPr>
          <w:rFonts w:hint="eastAsia" w:ascii="仿宋" w:hAnsi="仿宋" w:eastAsia="仿宋" w:cs="宋体"/>
          <w:kern w:val="0"/>
          <w:sz w:val="32"/>
          <w:szCs w:val="32"/>
        </w:rPr>
        <w:t>（7）“长期投资”科目</w:t>
      </w:r>
    </w:p>
    <w:p>
      <w:pPr>
        <w:autoSpaceDE w:val="0"/>
        <w:autoSpaceDN w:val="0"/>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新制度设置了“长期股权投资”、“长期债券投资”和“应收利息”科目。原制度设置了“长期投资”科目。转账时，应当将原账的“长期投资”科目余额中属于股权投资的金额转入新账的“长期股权投资”科目及其明细科目；将原账的“长期投资”科目余额中属于债券投资的金额转入新账的“长期债券投资”科目，并将其中</w:t>
      </w:r>
      <w:r>
        <w:rPr>
          <w:rFonts w:hint="eastAsia" w:ascii="仿宋" w:hAnsi="仿宋" w:eastAsia="仿宋" w:cs="宋体"/>
          <w:sz w:val="32"/>
          <w:szCs w:val="32"/>
        </w:rPr>
        <w:t>分期付息、到期还本的长期债券投资的应收利息金额，</w:t>
      </w:r>
      <w:r>
        <w:rPr>
          <w:rFonts w:hint="eastAsia" w:ascii="仿宋" w:hAnsi="仿宋" w:eastAsia="仿宋" w:cs="宋体"/>
          <w:kern w:val="0"/>
          <w:sz w:val="32"/>
          <w:szCs w:val="32"/>
        </w:rPr>
        <w:t>转入新账的“应收利息”科目。</w:t>
      </w:r>
    </w:p>
    <w:p>
      <w:pPr>
        <w:autoSpaceDE w:val="0"/>
        <w:autoSpaceDN w:val="0"/>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（8）“拨付所属资金”科目</w:t>
      </w:r>
    </w:p>
    <w:p>
      <w:pPr>
        <w:autoSpaceDE w:val="0"/>
        <w:autoSpaceDN w:val="0"/>
        <w:adjustRightInd w:val="0"/>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有的林场在原账中使用“拨付所属资金”科目。如果所属单位为企业，转账时应当将原账的“拨付所属资金”科目相应余额转入新账的“长期股权投资”科目</w:t>
      </w:r>
      <w:r>
        <w:rPr>
          <w:rFonts w:hint="eastAsia" w:ascii="仿宋_GB2312" w:hAnsi="仿宋" w:eastAsia="仿宋_GB2312" w:cs="宋体"/>
          <w:kern w:val="0"/>
          <w:sz w:val="32"/>
          <w:szCs w:val="32"/>
        </w:rPr>
        <w:t>[成本法]或“长期股权投资——成本”科目[权益法]</w:t>
      </w:r>
      <w:r>
        <w:rPr>
          <w:rFonts w:hint="eastAsia" w:ascii="仿宋" w:hAnsi="仿宋" w:eastAsia="仿宋" w:cs="宋体"/>
          <w:kern w:val="0"/>
          <w:sz w:val="32"/>
          <w:szCs w:val="32"/>
        </w:rPr>
        <w:t>；如果所属单位为事业单位，转账时应当将原账的“拨付所属资金”科目的相应余额转入新账的“累计盈余”科目借方。</w:t>
      </w:r>
    </w:p>
    <w:p>
      <w:pPr>
        <w:spacing w:line="600" w:lineRule="exact"/>
        <w:ind w:firstLine="636"/>
        <w:rPr>
          <w:rFonts w:ascii="仿宋" w:hAnsi="仿宋" w:eastAsia="仿宋" w:cs="宋体"/>
          <w:kern w:val="0"/>
          <w:sz w:val="32"/>
          <w:szCs w:val="32"/>
        </w:rPr>
      </w:pPr>
      <w:r>
        <w:rPr>
          <w:rFonts w:hint="eastAsia" w:ascii="仿宋" w:hAnsi="仿宋" w:eastAsia="仿宋" w:cs="宋体"/>
          <w:kern w:val="0"/>
          <w:sz w:val="32"/>
          <w:szCs w:val="32"/>
        </w:rPr>
        <w:t>（9）“固定资产”科目</w:t>
      </w:r>
    </w:p>
    <w:p>
      <w:pPr>
        <w:spacing w:line="600" w:lineRule="exact"/>
        <w:ind w:firstLine="420"/>
        <w:rPr>
          <w:rFonts w:ascii="仿宋" w:hAnsi="仿宋" w:eastAsia="仿宋" w:cs="Times New Roman"/>
          <w:kern w:val="0"/>
          <w:sz w:val="32"/>
          <w:szCs w:val="32"/>
        </w:rPr>
      </w:pPr>
      <w:r>
        <w:rPr>
          <w:rFonts w:hint="eastAsia" w:ascii="仿宋" w:hAnsi="仿宋" w:eastAsia="仿宋" w:cs="宋体"/>
          <w:kern w:val="0"/>
          <w:sz w:val="32"/>
          <w:szCs w:val="32"/>
        </w:rPr>
        <w:t>新制度设置了“固定资产”科目，该科目的核算内容与原账的“固定资产”科目的核算内容基本相同。转账时，应当将原账的“固定资产”科目余额转入新账的“固定资产”科目。</w:t>
      </w:r>
    </w:p>
    <w:p>
      <w:pPr>
        <w:ind w:firstLine="636"/>
        <w:rPr>
          <w:rFonts w:ascii="仿宋" w:hAnsi="仿宋" w:eastAsia="仿宋" w:cs="宋体"/>
          <w:kern w:val="0"/>
          <w:sz w:val="32"/>
          <w:szCs w:val="32"/>
        </w:rPr>
      </w:pPr>
      <w:r>
        <w:rPr>
          <w:rFonts w:hint="eastAsia" w:ascii="仿宋" w:hAnsi="仿宋" w:eastAsia="仿宋" w:cs="宋体"/>
          <w:kern w:val="0"/>
          <w:sz w:val="32"/>
          <w:szCs w:val="32"/>
        </w:rPr>
        <w:t>林场在原账的“固定资产”科目中核算新制度规定的无形资产内容的，应当将原账的“固定资产”科目余额中属于新制度规定的无形资产的金额转入新账的“无形资产”科目。</w:t>
      </w:r>
    </w:p>
    <w:p>
      <w:pPr>
        <w:ind w:firstLine="636"/>
        <w:rPr>
          <w:rFonts w:ascii="仿宋" w:hAnsi="仿宋" w:eastAsia="仿宋" w:cs="宋体"/>
          <w:kern w:val="0"/>
          <w:sz w:val="32"/>
          <w:szCs w:val="32"/>
        </w:rPr>
      </w:pPr>
      <w:r>
        <w:rPr>
          <w:rFonts w:hint="eastAsia" w:ascii="仿宋" w:hAnsi="仿宋" w:eastAsia="仿宋" w:cs="宋体"/>
          <w:kern w:val="0"/>
          <w:sz w:val="32"/>
          <w:szCs w:val="32"/>
        </w:rPr>
        <w:t>（10）“累计折旧”科目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新制度设置了“固定资产累计折旧”科目，该科目的核算内容与原账的“累计折旧”科目的核算内容基本相同。转账时，应当将原账的“累计折旧”科目余额转入新账的“固定资产累计折旧”科目。</w:t>
      </w:r>
    </w:p>
    <w:p>
      <w:pPr>
        <w:ind w:firstLine="480" w:firstLineChars="150"/>
        <w:rPr>
          <w:rFonts w:ascii="仿宋" w:hAnsi="仿宋" w:eastAsia="仿宋" w:cs="宋体"/>
          <w:kern w:val="0"/>
          <w:sz w:val="32"/>
          <w:szCs w:val="32"/>
        </w:rPr>
      </w:pPr>
      <w:r>
        <w:rPr>
          <w:rFonts w:hint="eastAsia" w:ascii="仿宋" w:hAnsi="仿宋" w:eastAsia="仿宋" w:cs="宋体"/>
          <w:sz w:val="32"/>
          <w:szCs w:val="32"/>
        </w:rPr>
        <w:t xml:space="preserve"> </w:t>
      </w:r>
      <w:r>
        <w:rPr>
          <w:rFonts w:hint="eastAsia" w:ascii="仿宋" w:hAnsi="仿宋" w:eastAsia="仿宋" w:cs="宋体"/>
          <w:kern w:val="0"/>
          <w:sz w:val="32"/>
          <w:szCs w:val="32"/>
        </w:rPr>
        <w:t>（11）</w:t>
      </w:r>
      <w:r>
        <w:rPr>
          <w:rFonts w:hint="eastAsia" w:ascii="仿宋" w:hAnsi="仿宋" w:eastAsia="仿宋" w:cs="宋体"/>
          <w:sz w:val="32"/>
          <w:szCs w:val="32"/>
        </w:rPr>
        <w:t>“在建工程”科目</w:t>
      </w:r>
    </w:p>
    <w:p>
      <w:pPr>
        <w:ind w:firstLine="707" w:firstLineChars="221"/>
        <w:rPr>
          <w:rFonts w:ascii="仿宋" w:hAnsi="仿宋" w:eastAsia="仿宋" w:cs="宋体"/>
          <w:kern w:val="0"/>
          <w:sz w:val="32"/>
          <w:szCs w:val="32"/>
        </w:rPr>
      </w:pPr>
      <w:r>
        <w:rPr>
          <w:rFonts w:hint="eastAsia" w:ascii="仿宋" w:hAnsi="仿宋" w:eastAsia="仿宋" w:cs="宋体"/>
          <w:kern w:val="0"/>
          <w:sz w:val="32"/>
          <w:szCs w:val="32"/>
        </w:rPr>
        <w:t>新制度设置了“在建工程”和“预付账款——预付备料款、预付工程款”科目，原制度设置了“在建工程”科目。转账时，林场应当将原账的“在建工程”科目余额中属于预付备料款、预付工程款的金额，转入新账的“预付账款”科目相关明细科目；将原账的“在建工程”科目余额减去预付备料款、预付工程款金额后的差额，转入新账的“在建工程”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林场在原账“在建工程”科目中核算了按照新制度规定应当记入“工程物资”科目内容的，应当将原账的“在建工程”科目余额中属于工程物资的金额，转入新账的“工程物资”科目。</w:t>
      </w:r>
    </w:p>
    <w:p>
      <w:pPr>
        <w:autoSpaceDE w:val="0"/>
        <w:autoSpaceDN w:val="0"/>
        <w:adjustRightInd w:val="0"/>
        <w:ind w:firstLine="480" w:firstLineChars="150"/>
        <w:jc w:val="left"/>
        <w:rPr>
          <w:rFonts w:ascii="仿宋" w:hAnsi="仿宋" w:eastAsia="仿宋" w:cs="Times New Roman"/>
          <w:kern w:val="0"/>
          <w:sz w:val="32"/>
          <w:szCs w:val="32"/>
        </w:rPr>
      </w:pPr>
      <w:r>
        <w:rPr>
          <w:rFonts w:hint="eastAsia" w:ascii="仿宋" w:hAnsi="仿宋" w:eastAsia="仿宋" w:cs="宋体"/>
          <w:sz w:val="32"/>
          <w:szCs w:val="32"/>
        </w:rPr>
        <w:t xml:space="preserve"> </w:t>
      </w:r>
      <w:r>
        <w:rPr>
          <w:rFonts w:hint="eastAsia" w:ascii="仿宋" w:hAnsi="仿宋" w:eastAsia="仿宋" w:cs="宋体"/>
          <w:kern w:val="0"/>
          <w:sz w:val="32"/>
          <w:szCs w:val="32"/>
        </w:rPr>
        <w:t>（12）</w:t>
      </w:r>
      <w:r>
        <w:rPr>
          <w:rFonts w:hint="eastAsia" w:ascii="仿宋" w:hAnsi="仿宋" w:eastAsia="仿宋" w:cs="宋体"/>
          <w:sz w:val="32"/>
          <w:szCs w:val="32"/>
        </w:rPr>
        <w:t>“固定资产清理”科目</w:t>
      </w:r>
    </w:p>
    <w:p>
      <w:pPr>
        <w:ind w:firstLine="420"/>
        <w:rPr>
          <w:rFonts w:ascii="仿宋" w:hAnsi="仿宋" w:eastAsia="仿宋" w:cs="宋体"/>
          <w:kern w:val="0"/>
          <w:sz w:val="32"/>
          <w:szCs w:val="32"/>
        </w:rPr>
      </w:pPr>
      <w:r>
        <w:rPr>
          <w:rFonts w:hint="eastAsia" w:ascii="仿宋" w:hAnsi="仿宋" w:eastAsia="仿宋" w:cs="宋体"/>
          <w:kern w:val="0"/>
          <w:sz w:val="32"/>
          <w:szCs w:val="32"/>
        </w:rPr>
        <w:t xml:space="preserve"> 新制度设置了“待处理财产损溢”科目。转账时，应当将原账的</w:t>
      </w:r>
      <w:r>
        <w:rPr>
          <w:rFonts w:hint="eastAsia" w:ascii="仿宋" w:hAnsi="仿宋" w:eastAsia="仿宋" w:cs="宋体"/>
          <w:sz w:val="32"/>
          <w:szCs w:val="32"/>
        </w:rPr>
        <w:t>“固定资产清理”科目</w:t>
      </w:r>
      <w:r>
        <w:rPr>
          <w:rFonts w:hint="eastAsia" w:ascii="仿宋" w:hAnsi="仿宋" w:eastAsia="仿宋" w:cs="宋体"/>
          <w:kern w:val="0"/>
          <w:sz w:val="32"/>
          <w:szCs w:val="32"/>
        </w:rPr>
        <w:t>余额，转入新账的“待处理财产损溢”科目。</w:t>
      </w:r>
    </w:p>
    <w:p>
      <w:pPr>
        <w:ind w:firstLine="640" w:firstLineChars="200"/>
        <w:rPr>
          <w:rFonts w:ascii="仿宋" w:hAnsi="仿宋" w:eastAsia="仿宋" w:cs="宋体"/>
          <w:kern w:val="0"/>
          <w:sz w:val="32"/>
          <w:szCs w:val="32"/>
        </w:rPr>
      </w:pPr>
      <w:r>
        <w:rPr>
          <w:rFonts w:hint="eastAsia" w:ascii="仿宋" w:hAnsi="仿宋" w:eastAsia="仿宋" w:cs="Times New Roman"/>
          <w:sz w:val="32"/>
          <w:szCs w:val="32"/>
        </w:rPr>
        <w:t>（13）</w:t>
      </w:r>
      <w:r>
        <w:rPr>
          <w:rFonts w:hint="eastAsia" w:ascii="仿宋" w:hAnsi="仿宋" w:eastAsia="仿宋" w:cs="宋体"/>
          <w:kern w:val="0"/>
          <w:sz w:val="32"/>
          <w:szCs w:val="32"/>
        </w:rPr>
        <w:t>“累计摊销”科目</w:t>
      </w:r>
    </w:p>
    <w:p>
      <w:pPr>
        <w:ind w:firstLine="640"/>
        <w:rPr>
          <w:rFonts w:ascii="仿宋" w:hAnsi="仿宋" w:eastAsia="仿宋" w:cs="宋体"/>
          <w:kern w:val="0"/>
          <w:sz w:val="32"/>
          <w:szCs w:val="32"/>
        </w:rPr>
      </w:pPr>
      <w:r>
        <w:rPr>
          <w:rFonts w:hint="eastAsia" w:ascii="仿宋" w:hAnsi="仿宋" w:eastAsia="仿宋" w:cs="宋体"/>
          <w:kern w:val="0"/>
          <w:sz w:val="32"/>
          <w:szCs w:val="32"/>
        </w:rPr>
        <w:t>新制度设置了“无形资产累计摊销”科目，该科目的核算内容与原账的“累计摊销”科目的核算内容基本相同。转账时，应当将原账的“累计摊销”科目余额转入新账的“无形资产累计摊销”科目。</w:t>
      </w:r>
    </w:p>
    <w:p>
      <w:pPr>
        <w:ind w:firstLine="640"/>
        <w:rPr>
          <w:rFonts w:ascii="仿宋" w:hAnsi="仿宋" w:eastAsia="仿宋" w:cs="宋体"/>
          <w:kern w:val="0"/>
          <w:sz w:val="32"/>
          <w:szCs w:val="32"/>
        </w:rPr>
      </w:pPr>
      <w:r>
        <w:rPr>
          <w:rFonts w:hint="eastAsia" w:ascii="仿宋" w:hAnsi="仿宋" w:eastAsia="仿宋" w:cs="宋体"/>
          <w:kern w:val="0"/>
          <w:sz w:val="32"/>
          <w:szCs w:val="32"/>
        </w:rPr>
        <w:t>（14）“递延资产”科目</w:t>
      </w:r>
    </w:p>
    <w:p>
      <w:pPr>
        <w:ind w:firstLine="640"/>
        <w:rPr>
          <w:rFonts w:ascii="仿宋" w:hAnsi="仿宋" w:eastAsia="仿宋" w:cs="宋体"/>
          <w:kern w:val="0"/>
          <w:sz w:val="32"/>
          <w:szCs w:val="32"/>
        </w:rPr>
      </w:pPr>
      <w:r>
        <w:rPr>
          <w:rFonts w:hint="eastAsia" w:ascii="仿宋" w:hAnsi="仿宋" w:eastAsia="仿宋" w:cs="宋体"/>
          <w:kern w:val="0"/>
          <w:sz w:val="32"/>
          <w:szCs w:val="32"/>
        </w:rPr>
        <w:t>有的林场在原账中使用“递延资产”科目。新制度设置“长期待摊费用”科目，该科目的核算内容与原账的“递延资产”科目的核算内容基本相同。转账时，应当将原账的“递延资产”科目余额转入新账的“长期待摊费用”科目。</w:t>
      </w:r>
    </w:p>
    <w:p>
      <w:pPr>
        <w:ind w:firstLine="640"/>
        <w:rPr>
          <w:rFonts w:ascii="仿宋" w:hAnsi="仿宋" w:eastAsia="仿宋" w:cs="宋体"/>
          <w:kern w:val="0"/>
          <w:sz w:val="32"/>
          <w:szCs w:val="32"/>
        </w:rPr>
      </w:pPr>
      <w:r>
        <w:rPr>
          <w:rFonts w:hint="eastAsia" w:ascii="仿宋" w:hAnsi="仿宋" w:eastAsia="仿宋" w:cs="Times New Roman"/>
          <w:sz w:val="32"/>
          <w:szCs w:val="32"/>
        </w:rPr>
        <w:t>（15）</w:t>
      </w:r>
      <w:r>
        <w:rPr>
          <w:rFonts w:hint="eastAsia" w:ascii="仿宋" w:hAnsi="仿宋" w:eastAsia="仿宋" w:cs="宋体"/>
          <w:kern w:val="0"/>
          <w:sz w:val="32"/>
          <w:szCs w:val="32"/>
        </w:rPr>
        <w:t>“林木资产”、</w:t>
      </w:r>
      <w:r>
        <w:rPr>
          <w:rFonts w:hint="eastAsia" w:ascii="仿宋" w:hAnsi="仿宋" w:eastAsia="仿宋" w:cs="Times New Roman"/>
          <w:sz w:val="32"/>
          <w:szCs w:val="32"/>
        </w:rPr>
        <w:t>“苗木资产”</w:t>
      </w:r>
      <w:r>
        <w:rPr>
          <w:rFonts w:hint="eastAsia" w:ascii="仿宋" w:hAnsi="仿宋" w:eastAsia="仿宋" w:cs="宋体"/>
          <w:kern w:val="0"/>
          <w:sz w:val="32"/>
          <w:szCs w:val="32"/>
        </w:rPr>
        <w:t>科目</w:t>
      </w:r>
    </w:p>
    <w:p>
      <w:pPr>
        <w:ind w:firstLine="640"/>
        <w:rPr>
          <w:rFonts w:ascii="仿宋" w:hAnsi="仿宋" w:eastAsia="仿宋" w:cs="宋体"/>
          <w:kern w:val="0"/>
          <w:sz w:val="32"/>
          <w:szCs w:val="32"/>
        </w:rPr>
      </w:pPr>
      <w:r>
        <w:rPr>
          <w:rFonts w:hint="eastAsia" w:ascii="仿宋" w:hAnsi="仿宋" w:eastAsia="仿宋" w:cs="宋体"/>
          <w:kern w:val="0"/>
          <w:sz w:val="32"/>
          <w:szCs w:val="32"/>
        </w:rPr>
        <w:t>新制度补充规定对林场设置了“林木资产”科目，该科目的核算内容包含了原账的“林木资产”科目和“苗木资产”科目的核算内容。转账时，应当将原账的“林木资产”和“苗木资产”科目余额转入新账的“林木资产”科目相应明细科目。</w:t>
      </w:r>
    </w:p>
    <w:p>
      <w:pPr>
        <w:ind w:firstLine="640" w:firstLineChars="200"/>
        <w:rPr>
          <w:rFonts w:ascii="仿宋" w:hAnsi="仿宋" w:eastAsia="仿宋" w:cs="Times New Roman"/>
          <w:sz w:val="32"/>
          <w:szCs w:val="32"/>
        </w:rPr>
      </w:pPr>
      <w:r>
        <w:rPr>
          <w:rFonts w:hint="eastAsia" w:ascii="仿宋" w:hAnsi="仿宋" w:eastAsia="仿宋" w:cs="宋体"/>
          <w:sz w:val="32"/>
          <w:szCs w:val="32"/>
        </w:rPr>
        <w:t>（16）“零余额账户用款额度”科目</w:t>
      </w:r>
    </w:p>
    <w:p>
      <w:pPr>
        <w:ind w:firstLine="420"/>
        <w:rPr>
          <w:rFonts w:ascii="仿宋" w:hAnsi="仿宋" w:eastAsia="仿宋" w:cs="宋体"/>
          <w:sz w:val="32"/>
          <w:szCs w:val="32"/>
        </w:rPr>
      </w:pPr>
      <w:r>
        <w:rPr>
          <w:rFonts w:hint="eastAsia" w:ascii="仿宋" w:hAnsi="仿宋" w:eastAsia="仿宋" w:cs="宋体"/>
          <w:sz w:val="32"/>
          <w:szCs w:val="32"/>
        </w:rPr>
        <w:t xml:space="preserve"> 由于原账的“零余额账户用款额度”科目年末无余额，该科目无需进行转账处理。</w:t>
      </w:r>
    </w:p>
    <w:p>
      <w:pPr>
        <w:ind w:firstLine="640" w:firstLineChars="200"/>
        <w:rPr>
          <w:rFonts w:ascii="仿宋" w:hAnsi="仿宋" w:eastAsia="仿宋" w:cs="Times New Roman"/>
          <w:sz w:val="32"/>
          <w:szCs w:val="32"/>
        </w:rPr>
      </w:pPr>
      <w:r>
        <w:rPr>
          <w:rFonts w:ascii="仿宋" w:hAnsi="仿宋" w:eastAsia="仿宋" w:cs="宋体"/>
          <w:sz w:val="32"/>
          <w:szCs w:val="32"/>
        </w:rPr>
        <w:t>2.</w:t>
      </w:r>
      <w:r>
        <w:rPr>
          <w:rFonts w:hint="eastAsia" w:ascii="仿宋" w:hAnsi="仿宋" w:eastAsia="仿宋" w:cs="宋体"/>
          <w:sz w:val="32"/>
          <w:szCs w:val="32"/>
        </w:rPr>
        <w:t>负债类</w:t>
      </w:r>
    </w:p>
    <w:p>
      <w:pPr>
        <w:ind w:firstLine="640" w:firstLineChars="200"/>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）“短期借款”、“应付票据”、“应付职工薪酬”科目</w:t>
      </w:r>
    </w:p>
    <w:p>
      <w:pPr>
        <w:ind w:firstLine="640" w:firstLineChars="200"/>
        <w:rPr>
          <w:rFonts w:ascii="仿宋" w:hAnsi="仿宋" w:eastAsia="仿宋" w:cs="宋体"/>
          <w:kern w:val="0"/>
          <w:sz w:val="32"/>
          <w:szCs w:val="32"/>
        </w:rPr>
      </w:pPr>
      <w:r>
        <w:rPr>
          <w:rFonts w:hint="eastAsia" w:ascii="仿宋" w:hAnsi="仿宋" w:eastAsia="仿宋" w:cs="宋体"/>
          <w:sz w:val="32"/>
          <w:szCs w:val="32"/>
        </w:rPr>
        <w:t>新制度设置了“短期借款”、“应付票据”、“应付职工薪酬”科目，</w:t>
      </w:r>
      <w:r>
        <w:rPr>
          <w:rFonts w:hint="eastAsia" w:ascii="仿宋" w:hAnsi="仿宋" w:eastAsia="仿宋" w:cs="宋体"/>
          <w:kern w:val="0"/>
          <w:sz w:val="32"/>
          <w:szCs w:val="32"/>
        </w:rPr>
        <w:t>这些科目的核算内容与原账的上述相应科目的核算内容基本相同。转账时，应当将原账的上述科目余额直接转入新账的相应科目。</w:t>
      </w:r>
    </w:p>
    <w:p>
      <w:pPr>
        <w:ind w:firstLine="636"/>
        <w:rPr>
          <w:rFonts w:ascii="仿宋" w:hAnsi="仿宋" w:eastAsia="仿宋" w:cs="宋体"/>
          <w:sz w:val="32"/>
          <w:szCs w:val="32"/>
        </w:rPr>
      </w:pPr>
      <w:r>
        <w:rPr>
          <w:rFonts w:hint="eastAsia" w:ascii="仿宋" w:hAnsi="仿宋" w:eastAsia="仿宋" w:cs="宋体"/>
          <w:kern w:val="0"/>
          <w:sz w:val="32"/>
          <w:szCs w:val="32"/>
        </w:rPr>
        <w:t>有的林场在原账中使用“应付工资”科目。转账时，应当将原账的“应付工资”科目余额转入新账的“应付职工薪酬”科目。</w:t>
      </w:r>
    </w:p>
    <w:p>
      <w:pPr>
        <w:ind w:firstLine="640" w:firstLineChars="200"/>
        <w:rPr>
          <w:rFonts w:ascii="仿宋" w:hAnsi="仿宋" w:eastAsia="仿宋" w:cs="宋体"/>
          <w:sz w:val="32"/>
          <w:szCs w:val="32"/>
        </w:rPr>
      </w:pPr>
      <w:r>
        <w:rPr>
          <w:rFonts w:hint="eastAsia" w:ascii="仿宋" w:hAnsi="仿宋" w:eastAsia="仿宋" w:cs="宋体"/>
          <w:sz w:val="32"/>
          <w:szCs w:val="32"/>
        </w:rPr>
        <w:t>（2）“应付账款”科目</w:t>
      </w:r>
    </w:p>
    <w:p>
      <w:pPr>
        <w:ind w:firstLine="640" w:firstLineChars="200"/>
        <w:rPr>
          <w:rFonts w:ascii="仿宋" w:hAnsi="仿宋" w:eastAsia="仿宋" w:cs="宋体"/>
          <w:sz w:val="32"/>
          <w:szCs w:val="32"/>
        </w:rPr>
      </w:pPr>
      <w:r>
        <w:rPr>
          <w:rFonts w:hint="eastAsia" w:ascii="仿宋" w:hAnsi="仿宋" w:eastAsia="仿宋" w:cs="宋体"/>
          <w:sz w:val="32"/>
          <w:szCs w:val="32"/>
        </w:rPr>
        <w:t>新制度设置了“应付账款”科目，该科目的核算内容与原账的“应付账款”科目核算内容基本相同。</w:t>
      </w:r>
      <w:r>
        <w:rPr>
          <w:rFonts w:hint="eastAsia" w:ascii="仿宋" w:hAnsi="仿宋" w:eastAsia="仿宋" w:cs="宋体"/>
          <w:kern w:val="0"/>
          <w:sz w:val="32"/>
          <w:szCs w:val="32"/>
        </w:rPr>
        <w:t>转账时，应当将原账的“</w:t>
      </w:r>
      <w:r>
        <w:rPr>
          <w:rFonts w:hint="eastAsia" w:ascii="仿宋" w:hAnsi="仿宋" w:eastAsia="仿宋" w:cs="宋体"/>
          <w:sz w:val="32"/>
          <w:szCs w:val="32"/>
        </w:rPr>
        <w:t>应付账款</w:t>
      </w:r>
      <w:r>
        <w:rPr>
          <w:rFonts w:hint="eastAsia" w:ascii="仿宋" w:hAnsi="仿宋" w:eastAsia="仿宋" w:cs="宋体"/>
          <w:kern w:val="0"/>
          <w:sz w:val="32"/>
          <w:szCs w:val="32"/>
        </w:rPr>
        <w:t>”科目余额转入新账的“</w:t>
      </w:r>
      <w:r>
        <w:rPr>
          <w:rFonts w:hint="eastAsia" w:ascii="仿宋" w:hAnsi="仿宋" w:eastAsia="仿宋" w:cs="宋体"/>
          <w:sz w:val="32"/>
          <w:szCs w:val="32"/>
        </w:rPr>
        <w:t>应付账款</w:t>
      </w:r>
      <w:r>
        <w:rPr>
          <w:rFonts w:hint="eastAsia" w:ascii="仿宋" w:hAnsi="仿宋" w:eastAsia="仿宋" w:cs="宋体"/>
          <w:kern w:val="0"/>
          <w:sz w:val="32"/>
          <w:szCs w:val="32"/>
        </w:rPr>
        <w:t>”科目。其中，如果原账的</w:t>
      </w:r>
      <w:r>
        <w:rPr>
          <w:rFonts w:hint="eastAsia" w:ascii="仿宋" w:hAnsi="仿宋" w:eastAsia="仿宋" w:cs="宋体"/>
          <w:sz w:val="32"/>
          <w:szCs w:val="32"/>
        </w:rPr>
        <w:t>“应付账款”科目余额中有属于新制度规定的预收账款，应当将属于预收账款的金额转入新账的“预收账款”科目。</w:t>
      </w:r>
    </w:p>
    <w:p>
      <w:pPr>
        <w:ind w:firstLine="640" w:firstLineChars="200"/>
        <w:rPr>
          <w:rFonts w:ascii="仿宋" w:hAnsi="仿宋" w:eastAsia="仿宋" w:cs="宋体"/>
          <w:sz w:val="32"/>
          <w:szCs w:val="32"/>
        </w:rPr>
      </w:pPr>
      <w:r>
        <w:rPr>
          <w:rFonts w:hint="eastAsia" w:ascii="仿宋" w:hAnsi="仿宋" w:eastAsia="仿宋" w:cs="宋体"/>
          <w:sz w:val="32"/>
          <w:szCs w:val="32"/>
        </w:rPr>
        <w:t>（3）“专项应付款”、“拨入事业费”科目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w:t>
      </w:r>
      <w:r>
        <w:rPr>
          <w:rFonts w:hint="eastAsia" w:ascii="仿宋" w:hAnsi="仿宋" w:eastAsia="仿宋" w:cs="宋体"/>
          <w:sz w:val="32"/>
          <w:szCs w:val="32"/>
        </w:rPr>
        <w:t>设置了“累计盈余”科目</w:t>
      </w:r>
      <w:r>
        <w:rPr>
          <w:rFonts w:hint="eastAsia" w:ascii="仿宋" w:hAnsi="仿宋" w:eastAsia="仿宋" w:cs="宋体"/>
          <w:kern w:val="0"/>
          <w:sz w:val="32"/>
          <w:szCs w:val="32"/>
        </w:rPr>
        <w:t>。转账时，应当将原账的</w:t>
      </w:r>
      <w:r>
        <w:rPr>
          <w:rFonts w:hint="eastAsia" w:ascii="仿宋" w:hAnsi="仿宋" w:eastAsia="仿宋" w:cs="宋体"/>
          <w:sz w:val="32"/>
          <w:szCs w:val="32"/>
        </w:rPr>
        <w:t>“专项应付款”、“拨入事业费”科目余额转入新账的“累计盈余”科目。</w:t>
      </w:r>
    </w:p>
    <w:p>
      <w:pPr>
        <w:ind w:firstLine="640" w:firstLineChars="200"/>
        <w:rPr>
          <w:rFonts w:ascii="仿宋" w:hAnsi="仿宋" w:eastAsia="仿宋" w:cs="宋体"/>
          <w:sz w:val="32"/>
          <w:szCs w:val="32"/>
        </w:rPr>
      </w:pPr>
      <w:r>
        <w:rPr>
          <w:rFonts w:hint="eastAsia" w:ascii="仿宋" w:hAnsi="仿宋" w:eastAsia="仿宋" w:cs="宋体"/>
          <w:sz w:val="32"/>
          <w:szCs w:val="32"/>
        </w:rPr>
        <w:t>（4）“应缴款项”科目</w:t>
      </w:r>
    </w:p>
    <w:p>
      <w:pPr>
        <w:ind w:firstLine="640" w:firstLineChars="200"/>
        <w:rPr>
          <w:rFonts w:ascii="仿宋" w:hAnsi="仿宋" w:eastAsia="仿宋" w:cs="宋体"/>
          <w:kern w:val="0"/>
          <w:sz w:val="32"/>
          <w:szCs w:val="32"/>
        </w:rPr>
      </w:pPr>
      <w:r>
        <w:rPr>
          <w:rFonts w:hint="eastAsia" w:ascii="仿宋" w:hAnsi="仿宋" w:eastAsia="仿宋" w:cs="宋体"/>
          <w:sz w:val="32"/>
          <w:szCs w:val="32"/>
        </w:rPr>
        <w:t>新制度设置了“应缴财政款”科目，该科目的核算内容与原账的“应缴款项”科目核算内容基本相同。</w:t>
      </w:r>
      <w:r>
        <w:rPr>
          <w:rFonts w:hint="eastAsia" w:ascii="仿宋" w:hAnsi="仿宋" w:eastAsia="仿宋" w:cs="宋体"/>
          <w:kern w:val="0"/>
          <w:sz w:val="32"/>
          <w:szCs w:val="32"/>
        </w:rPr>
        <w:t>转账时，应当将原账的“</w:t>
      </w:r>
      <w:r>
        <w:rPr>
          <w:rFonts w:hint="eastAsia" w:ascii="仿宋" w:hAnsi="仿宋" w:eastAsia="仿宋" w:cs="宋体"/>
          <w:sz w:val="32"/>
          <w:szCs w:val="32"/>
        </w:rPr>
        <w:t>应缴款项</w:t>
      </w:r>
      <w:r>
        <w:rPr>
          <w:rFonts w:hint="eastAsia" w:ascii="仿宋" w:hAnsi="仿宋" w:eastAsia="仿宋" w:cs="宋体"/>
          <w:kern w:val="0"/>
          <w:sz w:val="32"/>
          <w:szCs w:val="32"/>
        </w:rPr>
        <w:t>”科目余额转入新账的“</w:t>
      </w:r>
      <w:r>
        <w:rPr>
          <w:rFonts w:hint="eastAsia" w:ascii="仿宋" w:hAnsi="仿宋" w:eastAsia="仿宋" w:cs="宋体"/>
          <w:sz w:val="32"/>
          <w:szCs w:val="32"/>
        </w:rPr>
        <w:t>应缴财政款</w:t>
      </w:r>
      <w:r>
        <w:rPr>
          <w:rFonts w:hint="eastAsia" w:ascii="仿宋" w:hAnsi="仿宋" w:eastAsia="仿宋" w:cs="宋体"/>
          <w:kern w:val="0"/>
          <w:sz w:val="32"/>
          <w:szCs w:val="32"/>
        </w:rPr>
        <w:t>”科目。</w:t>
      </w:r>
    </w:p>
    <w:p>
      <w:pPr>
        <w:ind w:firstLine="636"/>
        <w:rPr>
          <w:rFonts w:ascii="仿宋" w:hAnsi="仿宋" w:eastAsia="仿宋" w:cs="宋体"/>
          <w:sz w:val="32"/>
          <w:szCs w:val="32"/>
        </w:rPr>
      </w:pPr>
      <w:r>
        <w:rPr>
          <w:rFonts w:hint="eastAsia" w:ascii="仿宋" w:hAnsi="仿宋" w:eastAsia="仿宋" w:cs="宋体"/>
          <w:sz w:val="32"/>
          <w:szCs w:val="32"/>
        </w:rPr>
        <w:t>（5）“应付福利费”科目</w:t>
      </w:r>
    </w:p>
    <w:p>
      <w:pPr>
        <w:ind w:firstLine="636"/>
        <w:rPr>
          <w:rFonts w:ascii="仿宋" w:hAnsi="仿宋" w:eastAsia="仿宋" w:cs="宋体"/>
          <w:kern w:val="0"/>
          <w:sz w:val="32"/>
          <w:szCs w:val="32"/>
        </w:rPr>
      </w:pPr>
      <w:r>
        <w:rPr>
          <w:rFonts w:hint="eastAsia" w:ascii="仿宋" w:hAnsi="仿宋" w:eastAsia="仿宋" w:cs="宋体"/>
          <w:kern w:val="0"/>
          <w:sz w:val="32"/>
          <w:szCs w:val="32"/>
        </w:rPr>
        <w:t>新制度没有设置“</w:t>
      </w:r>
      <w:r>
        <w:rPr>
          <w:rFonts w:hint="eastAsia" w:ascii="仿宋" w:hAnsi="仿宋" w:eastAsia="仿宋" w:cs="宋体"/>
          <w:sz w:val="32"/>
          <w:szCs w:val="32"/>
        </w:rPr>
        <w:t>应付福利费</w:t>
      </w:r>
      <w:r>
        <w:rPr>
          <w:rFonts w:hint="eastAsia" w:ascii="仿宋" w:hAnsi="仿宋" w:eastAsia="仿宋" w:cs="宋体"/>
          <w:kern w:val="0"/>
          <w:sz w:val="32"/>
          <w:szCs w:val="32"/>
        </w:rPr>
        <w:t>”科目。转账时，应当对原账的“</w:t>
      </w:r>
      <w:r>
        <w:rPr>
          <w:rFonts w:hint="eastAsia" w:ascii="仿宋" w:hAnsi="仿宋" w:eastAsia="仿宋" w:cs="宋体"/>
          <w:sz w:val="32"/>
          <w:szCs w:val="32"/>
        </w:rPr>
        <w:t>应付福利费</w:t>
      </w:r>
      <w:r>
        <w:rPr>
          <w:rFonts w:hint="eastAsia" w:ascii="仿宋" w:hAnsi="仿宋" w:eastAsia="仿宋" w:cs="宋体"/>
          <w:kern w:val="0"/>
          <w:sz w:val="32"/>
          <w:szCs w:val="32"/>
        </w:rPr>
        <w:t>”科目余额进行分析，将其中属于职工福利基金的金额转入新账的“专用基金”科目，将其他余额转入新账的“</w:t>
      </w:r>
      <w:r>
        <w:rPr>
          <w:rFonts w:hint="eastAsia" w:ascii="仿宋" w:hAnsi="仿宋" w:eastAsia="仿宋" w:cs="宋体"/>
          <w:sz w:val="32"/>
          <w:szCs w:val="32"/>
        </w:rPr>
        <w:t>累计盈余</w:t>
      </w:r>
      <w:r>
        <w:rPr>
          <w:rFonts w:hint="eastAsia" w:ascii="仿宋" w:hAnsi="仿宋" w:eastAsia="仿宋" w:cs="宋体"/>
          <w:kern w:val="0"/>
          <w:sz w:val="32"/>
          <w:szCs w:val="32"/>
        </w:rPr>
        <w:t>”科目。</w:t>
      </w:r>
    </w:p>
    <w:p>
      <w:pPr>
        <w:ind w:firstLine="640" w:firstLineChars="200"/>
        <w:rPr>
          <w:rFonts w:ascii="仿宋" w:hAnsi="仿宋" w:eastAsia="仿宋" w:cs="宋体"/>
          <w:sz w:val="32"/>
          <w:szCs w:val="32"/>
        </w:rPr>
      </w:pPr>
      <w:r>
        <w:rPr>
          <w:rFonts w:hint="eastAsia" w:ascii="仿宋" w:hAnsi="仿宋" w:eastAsia="仿宋" w:cs="宋体"/>
          <w:kern w:val="0"/>
          <w:sz w:val="32"/>
          <w:szCs w:val="32"/>
        </w:rPr>
        <w:t>（6）</w:t>
      </w:r>
      <w:r>
        <w:rPr>
          <w:rFonts w:hint="eastAsia" w:ascii="仿宋" w:hAnsi="仿宋" w:eastAsia="仿宋" w:cs="宋体"/>
          <w:sz w:val="32"/>
          <w:szCs w:val="32"/>
        </w:rPr>
        <w:t>“其他应付款”科目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新制度设置了“其他应付款”科目，该科目的核算内容包含了原账的</w:t>
      </w:r>
      <w:r>
        <w:rPr>
          <w:rFonts w:hint="eastAsia" w:ascii="仿宋" w:hAnsi="仿宋" w:eastAsia="仿宋" w:cs="宋体"/>
          <w:sz w:val="32"/>
          <w:szCs w:val="32"/>
        </w:rPr>
        <w:t>“其他应付款”</w:t>
      </w:r>
      <w:r>
        <w:rPr>
          <w:rFonts w:hint="eastAsia" w:ascii="仿宋" w:hAnsi="仿宋" w:eastAsia="仿宋" w:cs="宋体"/>
          <w:kern w:val="0"/>
          <w:sz w:val="32"/>
          <w:szCs w:val="32"/>
        </w:rPr>
        <w:t>科目的核算内容。转账时，应当将原账的“其他应付款”科目余额转入新账的“其他应付款”科目。其中，如果在原账的“其他应付款”科目中核算属于新制度规定的受托代理负债，应当将原账的“其他应付款”科目余额中属于受托代理负债的金额转入新账的“受托代理负债”科目；如果在原账的“其他应付款”科目中核算属于新制度规定的应付社会保险费（如统筹退休金），应当将原账的“其他应付款”科目余额中属于应付社会保险费的金额转入新账的“应付职工薪酬”科目。</w:t>
      </w:r>
    </w:p>
    <w:p>
      <w:pPr>
        <w:ind w:firstLine="640" w:firstLineChars="200"/>
        <w:rPr>
          <w:rFonts w:ascii="仿宋" w:hAnsi="仿宋" w:eastAsia="仿宋" w:cs="Times New Roman"/>
          <w:sz w:val="32"/>
          <w:szCs w:val="32"/>
        </w:rPr>
      </w:pPr>
      <w:r>
        <w:rPr>
          <w:rFonts w:hint="eastAsia" w:ascii="仿宋" w:hAnsi="仿宋" w:eastAsia="仿宋" w:cs="宋体"/>
          <w:sz w:val="32"/>
          <w:szCs w:val="32"/>
        </w:rPr>
        <w:t>（7）“应交税金”科目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新制度设置了“应交增值税”和“其他应交税费”科目，这两个科目的核算内容包含了原账的</w:t>
      </w:r>
      <w:r>
        <w:rPr>
          <w:rFonts w:hint="eastAsia" w:ascii="仿宋" w:hAnsi="仿宋" w:eastAsia="仿宋" w:cs="宋体"/>
          <w:sz w:val="32"/>
          <w:szCs w:val="32"/>
        </w:rPr>
        <w:t>“应交税</w:t>
      </w:r>
      <w:r>
        <w:rPr>
          <w:rFonts w:hint="eastAsia" w:ascii="仿宋" w:hAnsi="仿宋" w:eastAsia="仿宋" w:cs="宋体"/>
          <w:kern w:val="0"/>
          <w:sz w:val="32"/>
          <w:szCs w:val="32"/>
        </w:rPr>
        <w:t>金</w:t>
      </w:r>
      <w:r>
        <w:rPr>
          <w:rFonts w:hint="eastAsia" w:ascii="仿宋" w:hAnsi="仿宋" w:eastAsia="仿宋" w:cs="宋体"/>
          <w:sz w:val="32"/>
          <w:szCs w:val="32"/>
        </w:rPr>
        <w:t>”</w:t>
      </w:r>
      <w:r>
        <w:rPr>
          <w:rFonts w:hint="eastAsia" w:ascii="仿宋" w:hAnsi="仿宋" w:eastAsia="仿宋" w:cs="宋体"/>
          <w:kern w:val="0"/>
          <w:sz w:val="32"/>
          <w:szCs w:val="32"/>
        </w:rPr>
        <w:t>科目的核算内容。转账时，应当将原账的“应</w:t>
      </w:r>
      <w:r>
        <w:rPr>
          <w:rFonts w:hint="eastAsia" w:ascii="仿宋" w:hAnsi="仿宋" w:eastAsia="仿宋" w:cs="宋体"/>
          <w:sz w:val="32"/>
          <w:szCs w:val="32"/>
        </w:rPr>
        <w:t>交</w:t>
      </w:r>
      <w:r>
        <w:rPr>
          <w:rFonts w:hint="eastAsia" w:ascii="仿宋" w:hAnsi="仿宋" w:eastAsia="仿宋" w:cs="宋体"/>
          <w:kern w:val="0"/>
          <w:sz w:val="32"/>
          <w:szCs w:val="32"/>
        </w:rPr>
        <w:t>税金”科目余额中属于应缴增值税的金额转入新账的“应交增值税”科目，将原账的“应</w:t>
      </w:r>
      <w:r>
        <w:rPr>
          <w:rFonts w:hint="eastAsia" w:ascii="仿宋" w:hAnsi="仿宋" w:eastAsia="仿宋" w:cs="宋体"/>
          <w:sz w:val="32"/>
          <w:szCs w:val="32"/>
        </w:rPr>
        <w:t>交</w:t>
      </w:r>
      <w:r>
        <w:rPr>
          <w:rFonts w:hint="eastAsia" w:ascii="仿宋" w:hAnsi="仿宋" w:eastAsia="仿宋" w:cs="宋体"/>
          <w:kern w:val="0"/>
          <w:sz w:val="32"/>
          <w:szCs w:val="32"/>
        </w:rPr>
        <w:t>税金”科目余额减去属于应缴增值税金额后的差额转入新账的“其他应交税费”科目。</w:t>
      </w:r>
    </w:p>
    <w:p>
      <w:pPr>
        <w:ind w:firstLine="640" w:firstLineChars="200"/>
        <w:rPr>
          <w:rFonts w:ascii="仿宋" w:hAnsi="仿宋" w:eastAsia="仿宋" w:cs="宋体"/>
          <w:kern w:val="0"/>
          <w:sz w:val="32"/>
          <w:szCs w:val="32"/>
        </w:rPr>
      </w:pPr>
      <w:r>
        <w:rPr>
          <w:rFonts w:hint="eastAsia" w:ascii="仿宋" w:hAnsi="仿宋" w:eastAsia="仿宋" w:cs="Times New Roman"/>
          <w:kern w:val="0"/>
          <w:sz w:val="32"/>
          <w:szCs w:val="32"/>
        </w:rPr>
        <w:t>（8）</w:t>
      </w:r>
      <w:r>
        <w:rPr>
          <w:rFonts w:hint="eastAsia" w:ascii="仿宋" w:hAnsi="仿宋" w:eastAsia="仿宋" w:cs="宋体"/>
          <w:kern w:val="0"/>
          <w:sz w:val="32"/>
          <w:szCs w:val="32"/>
        </w:rPr>
        <w:t>“预提费用”科目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预提费用”科目。转账时，应当将原账的“预提费用”科目余额中属于预提短期借款应付未付利息的金额转入新账的“应付利息”科目，将原账的“预提费用”科目余额减去预提短期借款利息金额后的差额转入新账的“预提费用”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（9）“其他应交款”科目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新制度没有设置“</w:t>
      </w:r>
      <w:r>
        <w:rPr>
          <w:rFonts w:hint="eastAsia" w:ascii="仿宋" w:hAnsi="仿宋" w:eastAsia="仿宋" w:cs="宋体"/>
          <w:sz w:val="32"/>
          <w:szCs w:val="32"/>
        </w:rPr>
        <w:t>其他应交款</w:t>
      </w:r>
      <w:r>
        <w:rPr>
          <w:rFonts w:hint="eastAsia" w:ascii="仿宋" w:hAnsi="仿宋" w:eastAsia="仿宋" w:cs="宋体"/>
          <w:kern w:val="0"/>
          <w:sz w:val="32"/>
          <w:szCs w:val="32"/>
        </w:rPr>
        <w:t>”科目，原账的</w:t>
      </w:r>
      <w:r>
        <w:rPr>
          <w:rFonts w:hint="eastAsia" w:ascii="仿宋" w:hAnsi="仿宋" w:eastAsia="仿宋" w:cs="宋体"/>
          <w:sz w:val="32"/>
          <w:szCs w:val="32"/>
        </w:rPr>
        <w:t>“其他应交款”科目核算内容分别在新制度的“应缴财政款”、“其他应交税费”、“其他应付款”科目中核算。</w:t>
      </w:r>
      <w:r>
        <w:rPr>
          <w:rFonts w:hint="eastAsia" w:ascii="仿宋" w:hAnsi="仿宋" w:eastAsia="仿宋" w:cs="宋体"/>
          <w:kern w:val="0"/>
          <w:sz w:val="32"/>
          <w:szCs w:val="32"/>
        </w:rPr>
        <w:t>转账时，应当将原账的“</w:t>
      </w:r>
      <w:r>
        <w:rPr>
          <w:rFonts w:hint="eastAsia" w:ascii="仿宋" w:hAnsi="仿宋" w:eastAsia="仿宋" w:cs="宋体"/>
          <w:sz w:val="32"/>
          <w:szCs w:val="32"/>
        </w:rPr>
        <w:t>其他应交款</w:t>
      </w:r>
      <w:r>
        <w:rPr>
          <w:rFonts w:hint="eastAsia" w:ascii="仿宋" w:hAnsi="仿宋" w:eastAsia="仿宋" w:cs="宋体"/>
          <w:kern w:val="0"/>
          <w:sz w:val="32"/>
          <w:szCs w:val="32"/>
        </w:rPr>
        <w:t>”科目余额中属于应缴财政款的金额转入新账的“应缴财政款”科目，将属于其他应缴税费（如应缴的教育费附加）的金额转入新账的“其他应交税费”科目，将原账的“</w:t>
      </w:r>
      <w:r>
        <w:rPr>
          <w:rFonts w:hint="eastAsia" w:ascii="仿宋" w:hAnsi="仿宋" w:eastAsia="仿宋" w:cs="宋体"/>
          <w:sz w:val="32"/>
          <w:szCs w:val="32"/>
        </w:rPr>
        <w:t>其他应交款</w:t>
      </w:r>
      <w:r>
        <w:rPr>
          <w:rFonts w:hint="eastAsia" w:ascii="仿宋" w:hAnsi="仿宋" w:eastAsia="仿宋" w:cs="宋体"/>
          <w:kern w:val="0"/>
          <w:sz w:val="32"/>
          <w:szCs w:val="32"/>
        </w:rPr>
        <w:t>”科目的其余余额转入新账的“其他应付款”科目。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（10）“长期借款”科目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长期借款”科目。转账时，应当将原账的“长期借款”科目余额，转入新账的“长期借款”科目。其中，如果原账的“长期借款”科目余额中有分期付息、到期还本的长期借款应付利息，应当将原账的“长期借款”科目余额中属于分期付息、到期还本的长期借款应付利息金额转入新账的“应付利息”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（11）“住房周转金”科目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新制度设置了“长期应付款”科目。转账时，应当将原账的“住房周转金”科目余额转入新账的“长期应付款”科目。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（12）“育林基金”科目</w:t>
      </w:r>
    </w:p>
    <w:p>
      <w:pPr>
        <w:ind w:firstLine="640" w:firstLineChars="200"/>
        <w:rPr>
          <w:rFonts w:ascii="仿宋" w:hAnsi="仿宋" w:eastAsia="仿宋" w:cs="Times New Roman"/>
          <w:kern w:val="0"/>
          <w:sz w:val="32"/>
          <w:szCs w:val="32"/>
        </w:rPr>
      </w:pPr>
      <w:r>
        <w:rPr>
          <w:rFonts w:hint="eastAsia" w:ascii="仿宋" w:hAnsi="仿宋" w:eastAsia="仿宋" w:cs="宋体"/>
          <w:sz w:val="32"/>
          <w:szCs w:val="32"/>
        </w:rPr>
        <w:t>新制度设置了“专用基金”科目。转账时，应当将原账中</w:t>
      </w:r>
      <w:r>
        <w:rPr>
          <w:rFonts w:hint="eastAsia" w:ascii="仿宋" w:hAnsi="仿宋" w:eastAsia="仿宋" w:cs="宋体"/>
          <w:kern w:val="0"/>
          <w:sz w:val="32"/>
          <w:szCs w:val="32"/>
        </w:rPr>
        <w:t>“育林基金”科目的余额转入新账“专用基金——森林恢复基金”科目。</w:t>
      </w:r>
    </w:p>
    <w:p>
      <w:pPr>
        <w:ind w:firstLine="640" w:firstLineChars="200"/>
        <w:rPr>
          <w:rFonts w:ascii="仿宋" w:hAnsi="仿宋" w:eastAsia="仿宋" w:cs="Times New Roman"/>
          <w:sz w:val="32"/>
          <w:szCs w:val="32"/>
        </w:rPr>
      </w:pPr>
      <w:r>
        <w:rPr>
          <w:rFonts w:ascii="仿宋" w:hAnsi="仿宋" w:eastAsia="仿宋" w:cs="宋体"/>
          <w:sz w:val="32"/>
          <w:szCs w:val="32"/>
        </w:rPr>
        <w:t>3.</w:t>
      </w:r>
      <w:r>
        <w:rPr>
          <w:rFonts w:hint="eastAsia" w:ascii="仿宋" w:hAnsi="仿宋" w:eastAsia="仿宋" w:cs="宋体"/>
          <w:sz w:val="32"/>
          <w:szCs w:val="32"/>
        </w:rPr>
        <w:t>净资产类</w:t>
      </w:r>
    </w:p>
    <w:p>
      <w:pPr>
        <w:ind w:firstLine="640" w:firstLineChars="200"/>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）“事业基金”科目</w:t>
      </w:r>
    </w:p>
    <w:p>
      <w:pPr>
        <w:ind w:firstLine="640" w:firstLineChars="200"/>
        <w:rPr>
          <w:rFonts w:ascii="仿宋" w:hAnsi="仿宋" w:eastAsia="仿宋" w:cs="宋体"/>
          <w:kern w:val="0"/>
          <w:sz w:val="32"/>
          <w:szCs w:val="32"/>
        </w:rPr>
      </w:pPr>
      <w:r>
        <w:rPr>
          <w:rFonts w:hint="eastAsia" w:ascii="仿宋" w:hAnsi="仿宋" w:eastAsia="仿宋" w:cs="宋体"/>
          <w:sz w:val="32"/>
          <w:szCs w:val="32"/>
        </w:rPr>
        <w:t>新制度设置了“累计盈余”科目</w:t>
      </w:r>
      <w:r>
        <w:rPr>
          <w:rFonts w:hint="eastAsia" w:ascii="仿宋" w:hAnsi="仿宋" w:eastAsia="仿宋" w:cs="宋体"/>
          <w:kern w:val="0"/>
          <w:sz w:val="32"/>
          <w:szCs w:val="32"/>
        </w:rPr>
        <w:t>。</w:t>
      </w:r>
      <w:r>
        <w:rPr>
          <w:rFonts w:hint="eastAsia" w:ascii="仿宋" w:hAnsi="仿宋" w:eastAsia="仿宋" w:cs="宋体"/>
          <w:sz w:val="32"/>
          <w:szCs w:val="32"/>
        </w:rPr>
        <w:t>该科目的余额包含了原账的“事业基金”科目</w:t>
      </w:r>
      <w:r>
        <w:rPr>
          <w:rFonts w:hint="eastAsia" w:ascii="仿宋" w:hAnsi="仿宋" w:eastAsia="仿宋" w:cs="宋体"/>
          <w:kern w:val="0"/>
          <w:sz w:val="32"/>
          <w:szCs w:val="32"/>
        </w:rPr>
        <w:t>的核算内容。转账时，应当将原账的</w:t>
      </w:r>
      <w:r>
        <w:rPr>
          <w:rFonts w:hint="eastAsia" w:ascii="仿宋" w:hAnsi="仿宋" w:eastAsia="仿宋" w:cs="宋体"/>
          <w:sz w:val="32"/>
          <w:szCs w:val="32"/>
        </w:rPr>
        <w:t>“事业基金”科目</w:t>
      </w:r>
      <w:r>
        <w:rPr>
          <w:rFonts w:hint="eastAsia" w:ascii="仿宋" w:hAnsi="仿宋" w:eastAsia="仿宋" w:cs="宋体"/>
          <w:kern w:val="0"/>
          <w:sz w:val="32"/>
          <w:szCs w:val="32"/>
        </w:rPr>
        <w:t>余额转入新账的“累计盈余”科目。</w:t>
      </w:r>
    </w:p>
    <w:p>
      <w:pPr>
        <w:ind w:firstLine="640" w:firstLineChars="200"/>
        <w:rPr>
          <w:rFonts w:ascii="仿宋" w:hAnsi="仿宋" w:eastAsia="仿宋" w:cs="Times New Roman"/>
          <w:sz w:val="32"/>
          <w:szCs w:val="32"/>
        </w:rPr>
      </w:pPr>
      <w:r>
        <w:rPr>
          <w:rFonts w:hint="eastAsia" w:ascii="仿宋" w:hAnsi="仿宋" w:eastAsia="仿宋" w:cs="宋体"/>
          <w:kern w:val="0"/>
          <w:sz w:val="32"/>
          <w:szCs w:val="32"/>
        </w:rPr>
        <w:t>（</w:t>
      </w:r>
      <w:r>
        <w:rPr>
          <w:rFonts w:hint="eastAsia" w:ascii="仿宋" w:hAnsi="仿宋" w:eastAsia="仿宋" w:cs="宋体"/>
          <w:sz w:val="32"/>
          <w:szCs w:val="32"/>
        </w:rPr>
        <w:t>2）“专用基金”科目</w:t>
      </w:r>
    </w:p>
    <w:p>
      <w:pPr>
        <w:ind w:firstLine="420"/>
        <w:rPr>
          <w:rFonts w:ascii="仿宋" w:hAnsi="仿宋" w:eastAsia="仿宋" w:cs="Times New Roman"/>
          <w:kern w:val="0"/>
          <w:sz w:val="32"/>
          <w:szCs w:val="32"/>
        </w:rPr>
      </w:pPr>
      <w:r>
        <w:rPr>
          <w:rFonts w:hint="eastAsia" w:ascii="仿宋" w:hAnsi="仿宋" w:eastAsia="仿宋" w:cs="宋体"/>
          <w:sz w:val="32"/>
          <w:szCs w:val="32"/>
        </w:rPr>
        <w:t xml:space="preserve"> 新制度设置了“专用基金”科目。转账时，应当</w:t>
      </w:r>
      <w:r>
        <w:rPr>
          <w:rFonts w:hint="eastAsia" w:ascii="仿宋" w:hAnsi="仿宋" w:eastAsia="仿宋" w:cs="宋体"/>
          <w:kern w:val="0"/>
          <w:sz w:val="32"/>
          <w:szCs w:val="32"/>
        </w:rPr>
        <w:t>将原账“专用基金”科目的余额转入新账的“专用基金”科目相关明细科目。</w:t>
      </w:r>
    </w:p>
    <w:p>
      <w:pPr>
        <w:ind w:firstLine="640" w:firstLineChars="200"/>
        <w:rPr>
          <w:rFonts w:ascii="仿宋" w:hAnsi="仿宋" w:eastAsia="仿宋" w:cs="宋体"/>
          <w:sz w:val="32"/>
          <w:szCs w:val="32"/>
        </w:rPr>
      </w:pPr>
      <w:r>
        <w:rPr>
          <w:rFonts w:hint="eastAsia" w:ascii="仿宋" w:hAnsi="仿宋" w:eastAsia="仿宋" w:cs="宋体"/>
          <w:kern w:val="0"/>
          <w:sz w:val="32"/>
          <w:szCs w:val="32"/>
        </w:rPr>
        <w:t>（3</w:t>
      </w:r>
      <w:r>
        <w:rPr>
          <w:rFonts w:hint="eastAsia" w:ascii="仿宋" w:hAnsi="仿宋" w:eastAsia="仿宋" w:cs="宋体"/>
          <w:sz w:val="32"/>
          <w:szCs w:val="32"/>
        </w:rPr>
        <w:t>）“林木资本”科目</w:t>
      </w:r>
    </w:p>
    <w:p>
      <w:pPr>
        <w:ind w:firstLine="640" w:firstLineChars="200"/>
        <w:rPr>
          <w:rFonts w:ascii="仿宋" w:hAnsi="仿宋" w:eastAsia="仿宋" w:cs="宋体"/>
          <w:sz w:val="32"/>
          <w:szCs w:val="32"/>
        </w:rPr>
      </w:pPr>
      <w:r>
        <w:rPr>
          <w:rFonts w:hint="eastAsia" w:ascii="仿宋" w:hAnsi="仿宋" w:eastAsia="仿宋" w:cs="宋体"/>
          <w:sz w:val="32"/>
          <w:szCs w:val="32"/>
        </w:rPr>
        <w:t>新制度未设置“林木资本”科目。</w:t>
      </w:r>
      <w:r>
        <w:rPr>
          <w:rFonts w:hint="eastAsia" w:ascii="仿宋" w:hAnsi="仿宋" w:eastAsia="仿宋" w:cs="宋体"/>
          <w:kern w:val="0"/>
          <w:sz w:val="32"/>
          <w:szCs w:val="32"/>
        </w:rPr>
        <w:t>转账时，应当将原账的</w:t>
      </w:r>
      <w:r>
        <w:rPr>
          <w:rFonts w:hint="eastAsia" w:ascii="仿宋" w:hAnsi="仿宋" w:eastAsia="仿宋" w:cs="宋体"/>
          <w:sz w:val="32"/>
          <w:szCs w:val="32"/>
        </w:rPr>
        <w:t>“林木资本”</w:t>
      </w:r>
      <w:r>
        <w:rPr>
          <w:rFonts w:hint="eastAsia" w:ascii="仿宋" w:hAnsi="仿宋" w:eastAsia="仿宋" w:cs="宋体"/>
          <w:kern w:val="0"/>
          <w:sz w:val="32"/>
          <w:szCs w:val="32"/>
        </w:rPr>
        <w:t>科目余额转入新账的“累计盈余”科目。</w:t>
      </w:r>
    </w:p>
    <w:p>
      <w:pPr>
        <w:ind w:firstLine="640" w:firstLineChars="200"/>
        <w:rPr>
          <w:rFonts w:ascii="仿宋" w:hAnsi="仿宋" w:eastAsia="仿宋" w:cs="宋体"/>
          <w:sz w:val="32"/>
          <w:szCs w:val="32"/>
        </w:rPr>
      </w:pPr>
      <w:r>
        <w:rPr>
          <w:rFonts w:hint="eastAsia" w:ascii="仿宋" w:hAnsi="仿宋" w:eastAsia="仿宋" w:cs="宋体"/>
          <w:sz w:val="32"/>
          <w:szCs w:val="32"/>
        </w:rPr>
        <w:t>（4）“财政补助结转（余）”科目</w:t>
      </w:r>
    </w:p>
    <w:p>
      <w:pPr>
        <w:ind w:firstLine="640" w:firstLineChars="200"/>
        <w:rPr>
          <w:rFonts w:ascii="仿宋" w:hAnsi="仿宋" w:eastAsia="仿宋" w:cs="宋体"/>
          <w:kern w:val="0"/>
          <w:sz w:val="32"/>
          <w:szCs w:val="32"/>
        </w:rPr>
      </w:pPr>
      <w:r>
        <w:rPr>
          <w:rFonts w:hint="eastAsia" w:ascii="仿宋" w:hAnsi="仿宋" w:eastAsia="仿宋" w:cs="宋体"/>
          <w:sz w:val="32"/>
          <w:szCs w:val="32"/>
        </w:rPr>
        <w:t>新制度设置了“累计盈余”科目，该科目的余额包含了原账的“财政补助结转（余）”科目</w:t>
      </w:r>
      <w:r>
        <w:rPr>
          <w:rFonts w:hint="eastAsia" w:ascii="仿宋" w:hAnsi="仿宋" w:eastAsia="仿宋" w:cs="宋体"/>
          <w:kern w:val="0"/>
          <w:sz w:val="32"/>
          <w:szCs w:val="32"/>
        </w:rPr>
        <w:t>的余额内容。转账时，应当将原账的</w:t>
      </w:r>
      <w:r>
        <w:rPr>
          <w:rFonts w:hint="eastAsia" w:ascii="仿宋" w:hAnsi="仿宋" w:eastAsia="仿宋" w:cs="宋体"/>
          <w:sz w:val="32"/>
          <w:szCs w:val="32"/>
        </w:rPr>
        <w:t>“财政补助结转（余）”科目</w:t>
      </w:r>
      <w:r>
        <w:rPr>
          <w:rFonts w:hint="eastAsia" w:ascii="仿宋" w:hAnsi="仿宋" w:eastAsia="仿宋" w:cs="宋体"/>
          <w:kern w:val="0"/>
          <w:sz w:val="32"/>
          <w:szCs w:val="32"/>
        </w:rPr>
        <w:t>余额转入新账的“累计盈余”科目。</w:t>
      </w:r>
    </w:p>
    <w:p>
      <w:pPr>
        <w:ind w:firstLine="640" w:firstLineChars="200"/>
        <w:rPr>
          <w:rFonts w:ascii="仿宋" w:hAnsi="仿宋" w:eastAsia="仿宋" w:cs="Times New Roman"/>
          <w:sz w:val="32"/>
          <w:szCs w:val="32"/>
        </w:rPr>
      </w:pPr>
      <w:r>
        <w:rPr>
          <w:rFonts w:hint="eastAsia" w:ascii="仿宋" w:hAnsi="仿宋" w:eastAsia="仿宋" w:cs="宋体"/>
          <w:sz w:val="32"/>
          <w:szCs w:val="32"/>
        </w:rPr>
        <w:t>（5）“上级拨入资金”科目</w:t>
      </w:r>
    </w:p>
    <w:p>
      <w:pPr>
        <w:ind w:firstLine="640" w:firstLineChars="200"/>
        <w:rPr>
          <w:rFonts w:ascii="仿宋" w:hAnsi="仿宋" w:eastAsia="仿宋" w:cs="宋体"/>
          <w:kern w:val="0"/>
          <w:sz w:val="32"/>
          <w:szCs w:val="32"/>
        </w:rPr>
      </w:pPr>
      <w:r>
        <w:rPr>
          <w:rFonts w:hint="eastAsia" w:ascii="仿宋" w:hAnsi="仿宋" w:eastAsia="仿宋" w:cs="宋体"/>
          <w:sz w:val="32"/>
          <w:szCs w:val="32"/>
        </w:rPr>
        <w:t>新制度没有设置“上级拨入资金”科目。原设置了“上级拨入资金”科目的林场，</w:t>
      </w:r>
      <w:r>
        <w:rPr>
          <w:rFonts w:hint="eastAsia" w:ascii="仿宋" w:hAnsi="仿宋" w:eastAsia="仿宋" w:cs="宋体"/>
          <w:kern w:val="0"/>
          <w:sz w:val="32"/>
          <w:szCs w:val="32"/>
        </w:rPr>
        <w:t>转账时，应当将原账的</w:t>
      </w:r>
      <w:r>
        <w:rPr>
          <w:rFonts w:hint="eastAsia" w:ascii="仿宋" w:hAnsi="仿宋" w:eastAsia="仿宋" w:cs="宋体"/>
          <w:sz w:val="32"/>
          <w:szCs w:val="32"/>
        </w:rPr>
        <w:t>“上级拨入资金”</w:t>
      </w:r>
      <w:r>
        <w:rPr>
          <w:rFonts w:hint="eastAsia" w:ascii="仿宋" w:hAnsi="仿宋" w:eastAsia="仿宋" w:cs="宋体"/>
          <w:kern w:val="0"/>
          <w:sz w:val="32"/>
          <w:szCs w:val="32"/>
        </w:rPr>
        <w:t>科目余额转入新账的“累计盈余”科目。</w:t>
      </w:r>
    </w:p>
    <w:p>
      <w:pPr>
        <w:ind w:firstLine="640" w:firstLineChars="200"/>
        <w:rPr>
          <w:rFonts w:ascii="仿宋" w:hAnsi="仿宋" w:eastAsia="仿宋" w:cs="Times New Roman"/>
          <w:sz w:val="32"/>
          <w:szCs w:val="32"/>
        </w:rPr>
      </w:pPr>
      <w:r>
        <w:rPr>
          <w:rFonts w:hint="eastAsia" w:ascii="仿宋" w:hAnsi="仿宋" w:eastAsia="仿宋" w:cs="宋体"/>
          <w:kern w:val="0"/>
          <w:sz w:val="32"/>
          <w:szCs w:val="32"/>
        </w:rPr>
        <w:t>（6）</w:t>
      </w:r>
      <w:r>
        <w:rPr>
          <w:rFonts w:hint="eastAsia" w:ascii="仿宋" w:hAnsi="仿宋" w:eastAsia="仿宋" w:cs="宋体"/>
          <w:sz w:val="32"/>
          <w:szCs w:val="32"/>
        </w:rPr>
        <w:t>“实收资本”、“资本公积 ”、“盈余公积 ”、“利润分配”科目</w:t>
      </w:r>
    </w:p>
    <w:p>
      <w:pPr>
        <w:ind w:firstLine="640" w:firstLineChars="200"/>
        <w:rPr>
          <w:rFonts w:ascii="仿宋" w:hAnsi="仿宋" w:eastAsia="仿宋" w:cs="Times New Roman"/>
          <w:kern w:val="0"/>
          <w:sz w:val="32"/>
          <w:szCs w:val="32"/>
        </w:rPr>
      </w:pPr>
      <w:r>
        <w:rPr>
          <w:rFonts w:hint="eastAsia" w:ascii="仿宋" w:hAnsi="仿宋" w:eastAsia="仿宋" w:cs="宋体"/>
          <w:sz w:val="32"/>
          <w:szCs w:val="32"/>
        </w:rPr>
        <w:t>有的林场</w:t>
      </w:r>
      <w:r>
        <w:rPr>
          <w:rFonts w:hint="eastAsia" w:ascii="仿宋" w:hAnsi="仿宋" w:eastAsia="仿宋" w:cs="宋体"/>
          <w:kern w:val="0"/>
          <w:sz w:val="32"/>
          <w:szCs w:val="32"/>
        </w:rPr>
        <w:t>在原账中使用</w:t>
      </w:r>
      <w:r>
        <w:rPr>
          <w:rFonts w:hint="eastAsia" w:ascii="仿宋" w:hAnsi="仿宋" w:eastAsia="仿宋" w:cs="宋体"/>
          <w:sz w:val="32"/>
          <w:szCs w:val="32"/>
        </w:rPr>
        <w:t>“实收资本”、“资本公积 ”、“盈余公积 ”、“利润分配”科目，新制度没有设置这些科目。新制度设置了“累计盈余”科目</w:t>
      </w:r>
      <w:r>
        <w:rPr>
          <w:rFonts w:hint="eastAsia" w:ascii="仿宋" w:hAnsi="仿宋" w:eastAsia="仿宋" w:cs="宋体"/>
          <w:kern w:val="0"/>
          <w:sz w:val="32"/>
          <w:szCs w:val="32"/>
        </w:rPr>
        <w:t>。转账时，应当将原账的</w:t>
      </w:r>
      <w:r>
        <w:rPr>
          <w:rFonts w:hint="eastAsia" w:ascii="仿宋" w:hAnsi="仿宋" w:eastAsia="仿宋" w:cs="宋体"/>
          <w:sz w:val="32"/>
          <w:szCs w:val="32"/>
        </w:rPr>
        <w:t>“实收资本”、“资本公积 ”、“盈余公积 ”、“利润分配”科目</w:t>
      </w:r>
      <w:r>
        <w:rPr>
          <w:rFonts w:hint="eastAsia" w:ascii="仿宋" w:hAnsi="仿宋" w:eastAsia="仿宋" w:cs="宋体"/>
          <w:kern w:val="0"/>
          <w:sz w:val="32"/>
          <w:szCs w:val="32"/>
        </w:rPr>
        <w:t>余额转入新账的“累计盈余”科目。</w:t>
      </w:r>
    </w:p>
    <w:p>
      <w:pPr>
        <w:ind w:firstLine="640" w:firstLineChars="200"/>
        <w:rPr>
          <w:rFonts w:ascii="仿宋" w:hAnsi="仿宋" w:eastAsia="仿宋" w:cs="Times New Roman"/>
          <w:kern w:val="0"/>
          <w:sz w:val="32"/>
          <w:szCs w:val="32"/>
        </w:rPr>
      </w:pPr>
      <w:r>
        <w:rPr>
          <w:rFonts w:hint="eastAsia" w:ascii="仿宋" w:hAnsi="仿宋" w:eastAsia="仿宋" w:cs="宋体"/>
          <w:sz w:val="32"/>
          <w:szCs w:val="32"/>
        </w:rPr>
        <w:t>（7）“本年利润”、“本年结余”、“结余分配”科目</w:t>
      </w:r>
    </w:p>
    <w:p>
      <w:pPr>
        <w:rPr>
          <w:rFonts w:ascii="仿宋" w:hAnsi="仿宋" w:eastAsia="仿宋" w:cs="Times New Roman"/>
          <w:sz w:val="32"/>
          <w:szCs w:val="32"/>
        </w:rPr>
      </w:pPr>
      <w:r>
        <w:rPr>
          <w:rFonts w:hint="eastAsia" w:ascii="仿宋" w:hAnsi="仿宋" w:eastAsia="仿宋" w:cs="宋体"/>
          <w:sz w:val="32"/>
          <w:szCs w:val="32"/>
        </w:rPr>
        <w:t xml:space="preserve">    由于原账的“本年利润”、“本年结余”、“结余分配”科目年末无余额，这些科目无需进行转账处理。</w:t>
      </w:r>
    </w:p>
    <w:p>
      <w:pPr>
        <w:ind w:firstLine="640" w:firstLineChars="200"/>
        <w:rPr>
          <w:rFonts w:ascii="仿宋" w:hAnsi="仿宋" w:eastAsia="仿宋" w:cs="宋体"/>
          <w:sz w:val="32"/>
          <w:szCs w:val="32"/>
        </w:rPr>
      </w:pPr>
      <w:r>
        <w:rPr>
          <w:rFonts w:ascii="仿宋" w:hAnsi="仿宋" w:eastAsia="仿宋" w:cs="宋体"/>
          <w:sz w:val="32"/>
          <w:szCs w:val="32"/>
        </w:rPr>
        <w:t>4.</w:t>
      </w:r>
      <w:r>
        <w:rPr>
          <w:rFonts w:hint="eastAsia" w:ascii="仿宋" w:hAnsi="仿宋" w:eastAsia="仿宋" w:cs="宋体"/>
          <w:sz w:val="32"/>
          <w:szCs w:val="32"/>
        </w:rPr>
        <w:t>成本和收入、费用类</w:t>
      </w:r>
    </w:p>
    <w:p>
      <w:pPr>
        <w:rPr>
          <w:rFonts w:ascii="仿宋" w:hAnsi="仿宋" w:eastAsia="仿宋" w:cs="宋体"/>
          <w:kern w:val="0"/>
          <w:sz w:val="32"/>
          <w:szCs w:val="32"/>
        </w:rPr>
      </w:pPr>
      <w:r>
        <w:rPr>
          <w:rFonts w:hint="eastAsia" w:ascii="仿宋" w:hAnsi="仿宋" w:eastAsia="仿宋" w:cs="宋体"/>
          <w:kern w:val="0"/>
          <w:sz w:val="32"/>
          <w:szCs w:val="32"/>
        </w:rPr>
        <w:t xml:space="preserve">    （1）成本类</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新制度补充规定设置了“营林工程”科目。转账时，应当将原账的“</w:t>
      </w:r>
      <w:r>
        <w:rPr>
          <w:rFonts w:hint="eastAsia" w:ascii="仿宋" w:hAnsi="仿宋" w:eastAsia="仿宋" w:cs="宋体"/>
          <w:sz w:val="32"/>
          <w:szCs w:val="32"/>
        </w:rPr>
        <w:t>生产成本”</w:t>
      </w:r>
      <w:r>
        <w:rPr>
          <w:rFonts w:hint="eastAsia" w:ascii="仿宋" w:hAnsi="仿宋" w:eastAsia="仿宋" w:cs="宋体"/>
          <w:kern w:val="0"/>
          <w:sz w:val="32"/>
          <w:szCs w:val="32"/>
        </w:rPr>
        <w:t>科目余额中营林成本部分转入新账的“营林工程”科目，其余部分转入“加工物品”、“库存物品”等科目。</w:t>
      </w:r>
    </w:p>
    <w:p>
      <w:pPr>
        <w:rPr>
          <w:rFonts w:ascii="仿宋" w:hAnsi="仿宋" w:eastAsia="仿宋" w:cs="宋体"/>
          <w:sz w:val="32"/>
          <w:szCs w:val="32"/>
        </w:rPr>
      </w:pPr>
      <w:r>
        <w:rPr>
          <w:rFonts w:hint="eastAsia" w:ascii="仿宋" w:hAnsi="仿宋" w:eastAsia="仿宋" w:cs="宋体"/>
          <w:sz w:val="32"/>
          <w:szCs w:val="32"/>
        </w:rPr>
        <w:t xml:space="preserve">    由于原账除了</w:t>
      </w:r>
      <w:r>
        <w:rPr>
          <w:rFonts w:hint="eastAsia" w:ascii="仿宋" w:hAnsi="仿宋" w:eastAsia="仿宋" w:cs="宋体"/>
          <w:kern w:val="0"/>
          <w:sz w:val="32"/>
          <w:szCs w:val="32"/>
        </w:rPr>
        <w:t>“</w:t>
      </w:r>
      <w:r>
        <w:rPr>
          <w:rFonts w:hint="eastAsia" w:ascii="仿宋" w:hAnsi="仿宋" w:eastAsia="仿宋" w:cs="宋体"/>
          <w:sz w:val="32"/>
          <w:szCs w:val="32"/>
        </w:rPr>
        <w:t>生产成本”科目，其他成本类科目年末无余额，无需进行转账处理。</w:t>
      </w:r>
    </w:p>
    <w:p>
      <w:pPr>
        <w:ind w:firstLine="640" w:firstLineChars="200"/>
        <w:rPr>
          <w:rFonts w:ascii="仿宋" w:hAnsi="仿宋" w:eastAsia="仿宋" w:cs="宋体"/>
          <w:sz w:val="32"/>
          <w:szCs w:val="32"/>
        </w:rPr>
      </w:pPr>
      <w:r>
        <w:rPr>
          <w:rFonts w:hint="eastAsia" w:ascii="仿宋" w:hAnsi="仿宋" w:eastAsia="仿宋" w:cs="宋体"/>
          <w:sz w:val="32"/>
          <w:szCs w:val="32"/>
        </w:rPr>
        <w:t>（2）收入类、费用类</w:t>
      </w:r>
    </w:p>
    <w:p>
      <w:pPr>
        <w:ind w:firstLine="640" w:firstLineChars="200"/>
        <w:rPr>
          <w:rFonts w:ascii="仿宋" w:hAnsi="仿宋" w:eastAsia="仿宋" w:cs="宋体"/>
          <w:sz w:val="32"/>
          <w:szCs w:val="32"/>
        </w:rPr>
      </w:pPr>
      <w:r>
        <w:rPr>
          <w:rFonts w:hint="eastAsia" w:ascii="仿宋" w:hAnsi="仿宋" w:eastAsia="仿宋" w:cs="宋体"/>
          <w:sz w:val="32"/>
          <w:szCs w:val="32"/>
        </w:rPr>
        <w:t>由于原账的收入类、费用类各科目年末无余额，无需进行转账处理。</w:t>
      </w:r>
    </w:p>
    <w:p>
      <w:pPr>
        <w:ind w:firstLine="640" w:firstLineChars="200"/>
        <w:rPr>
          <w:rFonts w:ascii="仿宋" w:hAnsi="仿宋" w:eastAsia="仿宋" w:cs="Times New Roman"/>
          <w:sz w:val="32"/>
          <w:szCs w:val="32"/>
        </w:rPr>
      </w:pPr>
      <w:r>
        <w:rPr>
          <w:rFonts w:hint="eastAsia" w:ascii="仿宋" w:hAnsi="仿宋" w:eastAsia="仿宋" w:cs="宋体"/>
          <w:sz w:val="32"/>
          <w:szCs w:val="32"/>
        </w:rPr>
        <w:t>自</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日起，应当按照新制度设置收入类、费用类科目并进行账务处理。</w:t>
      </w:r>
    </w:p>
    <w:p>
      <w:pPr>
        <w:ind w:left="640"/>
        <w:rPr>
          <w:rFonts w:ascii="仿宋" w:hAnsi="仿宋" w:eastAsia="仿宋" w:cs="宋体"/>
          <w:sz w:val="32"/>
          <w:szCs w:val="32"/>
        </w:rPr>
      </w:pPr>
      <w:r>
        <w:rPr>
          <w:rFonts w:hint="eastAsia" w:ascii="仿宋" w:hAnsi="仿宋" w:eastAsia="仿宋" w:cs="宋体"/>
          <w:sz w:val="32"/>
          <w:szCs w:val="32"/>
        </w:rPr>
        <w:t>5.将原账的基建账科目余额并入原“大账”</w:t>
      </w:r>
    </w:p>
    <w:p>
      <w:pPr>
        <w:ind w:firstLine="640"/>
        <w:rPr>
          <w:rFonts w:ascii="仿宋" w:hAnsi="仿宋" w:eastAsia="仿宋" w:cs="宋体"/>
          <w:sz w:val="32"/>
          <w:szCs w:val="32"/>
        </w:rPr>
      </w:pPr>
      <w:r>
        <w:rPr>
          <w:rFonts w:hint="eastAsia" w:ascii="仿宋" w:hAnsi="仿宋" w:eastAsia="仿宋" w:cs="宋体"/>
          <w:sz w:val="32"/>
          <w:szCs w:val="32"/>
        </w:rPr>
        <w:t>单独设置基建账（即按照《国有建设单位会计制度》设置的账套）、没有将原基建账相关科目余额并入原“大账”（即按照原制度及后来的补充规定设置的账套）科目余额的林场，应当在新旧衔接时先将原基建账各科目余额并入原“大账”相应科目余额（参见附表４），再按照本规定进行财务会计科目余额的转账处理。并账的主要账务处理如下：</w:t>
      </w:r>
    </w:p>
    <w:p>
      <w:pPr>
        <w:numPr>
          <w:ilvl w:val="0"/>
          <w:numId w:val="1"/>
        </w:numPr>
        <w:ind w:firstLine="640"/>
        <w:rPr>
          <w:rFonts w:ascii="仿宋" w:hAnsi="仿宋" w:eastAsia="仿宋" w:cs="宋体"/>
          <w:sz w:val="32"/>
          <w:szCs w:val="32"/>
        </w:rPr>
      </w:pPr>
      <w:r>
        <w:rPr>
          <w:rFonts w:hint="eastAsia" w:ascii="仿宋" w:hAnsi="仿宋" w:eastAsia="仿宋" w:cs="宋体"/>
          <w:sz w:val="32"/>
          <w:szCs w:val="32"/>
        </w:rPr>
        <w:t>按照原《国有建设单位会计制度》将原基建账的“交付使用资产”科目余额冲转原基建账的“基建拨款”等科目。</w:t>
      </w:r>
    </w:p>
    <w:p>
      <w:pPr>
        <w:numPr>
          <w:ilvl w:val="0"/>
          <w:numId w:val="1"/>
        </w:numPr>
        <w:ind w:firstLine="640"/>
        <w:rPr>
          <w:rFonts w:ascii="仿宋" w:hAnsi="仿宋" w:eastAsia="仿宋" w:cs="宋体"/>
          <w:sz w:val="32"/>
          <w:szCs w:val="32"/>
        </w:rPr>
      </w:pPr>
      <w:r>
        <w:rPr>
          <w:rFonts w:hint="eastAsia" w:ascii="仿宋" w:hAnsi="仿宋" w:eastAsia="仿宋" w:cs="宋体"/>
          <w:sz w:val="32"/>
          <w:szCs w:val="32"/>
        </w:rPr>
        <w:t>将原基建账的资金运用类科目余额并入相对应“大账”的资产类科目。</w:t>
      </w:r>
    </w:p>
    <w:p>
      <w:pPr>
        <w:numPr>
          <w:ilvl w:val="0"/>
          <w:numId w:val="1"/>
        </w:numPr>
        <w:ind w:firstLine="640"/>
        <w:rPr>
          <w:rFonts w:ascii="仿宋" w:hAnsi="仿宋" w:eastAsia="仿宋" w:cs="宋体"/>
          <w:sz w:val="32"/>
          <w:szCs w:val="32"/>
        </w:rPr>
      </w:pPr>
      <w:r>
        <w:rPr>
          <w:rFonts w:hint="eastAsia" w:ascii="仿宋" w:hAnsi="仿宋" w:eastAsia="仿宋" w:cs="宋体"/>
          <w:sz w:val="32"/>
          <w:szCs w:val="32"/>
        </w:rPr>
        <w:t>将原基建账的资金来源类科目余额并入相对应“大账”的负债类、净资产类科目。</w:t>
      </w:r>
    </w:p>
    <w:p>
      <w:pPr>
        <w:numPr>
          <w:ilvl w:val="0"/>
          <w:numId w:val="1"/>
        </w:numPr>
        <w:ind w:firstLine="640"/>
        <w:rPr>
          <w:rFonts w:ascii="仿宋" w:hAnsi="仿宋" w:eastAsia="仿宋" w:cs="宋体"/>
          <w:sz w:val="32"/>
          <w:szCs w:val="32"/>
        </w:rPr>
      </w:pPr>
      <w:r>
        <w:rPr>
          <w:rFonts w:hint="eastAsia" w:ascii="仿宋" w:hAnsi="仿宋" w:eastAsia="仿宋" w:cs="宋体"/>
          <w:sz w:val="32"/>
          <w:szCs w:val="32"/>
        </w:rPr>
        <w:t>按照并入“大账”的原基建账资金运用类科目余额与资金来源类科目余额的差额，加上其他尚未并入“大账”的原基建账资金运用类科目余额与资金来源类科目余额的差额，贷记或借记原“大账”的“事业基金”科目。</w:t>
      </w:r>
    </w:p>
    <w:p>
      <w:pPr>
        <w:rPr>
          <w:rFonts w:ascii="仿宋" w:hAnsi="仿宋" w:eastAsia="仿宋" w:cs="宋体"/>
          <w:sz w:val="32"/>
          <w:szCs w:val="32"/>
        </w:rPr>
      </w:pPr>
      <w:r>
        <w:rPr>
          <w:rFonts w:hint="eastAsia" w:ascii="仿宋" w:hAnsi="仿宋" w:eastAsia="仿宋" w:cs="宋体"/>
          <w:sz w:val="32"/>
          <w:szCs w:val="32"/>
        </w:rPr>
        <w:t xml:space="preserve">    基建账并账完成后，原基建账各科目无余额。</w:t>
      </w:r>
    </w:p>
    <w:p>
      <w:pPr>
        <w:ind w:firstLine="640" w:firstLineChars="200"/>
        <w:rPr>
          <w:rFonts w:ascii="仿宋" w:hAnsi="仿宋" w:eastAsia="仿宋" w:cs="宋体"/>
          <w:sz w:val="32"/>
          <w:szCs w:val="32"/>
        </w:rPr>
      </w:pPr>
      <w:r>
        <w:rPr>
          <w:rFonts w:hint="eastAsia" w:ascii="仿宋" w:hAnsi="仿宋" w:eastAsia="仿宋" w:cs="宋体"/>
          <w:sz w:val="32"/>
          <w:szCs w:val="32"/>
        </w:rPr>
        <w:t>林场存在其他本规定未列举的原账科目余额的，应当比照本规定转入新账的相应科目。新账科目设有明细科目的，应将原账中对应科目的余额加以分析，分别转入新账中相应科目的相关明细科目。</w:t>
      </w:r>
    </w:p>
    <w:p>
      <w:pPr>
        <w:widowControl/>
        <w:ind w:firstLine="640"/>
        <w:jc w:val="left"/>
        <w:rPr>
          <w:rFonts w:ascii="仿宋" w:hAnsi="仿宋" w:eastAsia="仿宋" w:cs="宋体"/>
          <w:sz w:val="32"/>
          <w:szCs w:val="32"/>
        </w:rPr>
      </w:pPr>
      <w:r>
        <w:rPr>
          <w:rFonts w:hint="eastAsia" w:ascii="仿宋" w:hAnsi="仿宋" w:eastAsia="仿宋" w:cs="宋体"/>
          <w:sz w:val="32"/>
          <w:szCs w:val="32"/>
        </w:rPr>
        <w:t>林场</w:t>
      </w:r>
      <w:r>
        <w:rPr>
          <w:rFonts w:hint="eastAsia" w:ascii="Times New Roman" w:hAnsi="Times New Roman" w:eastAsia="仿宋_GB2312" w:cs="Times New Roman"/>
          <w:sz w:val="32"/>
          <w:szCs w:val="32"/>
        </w:rPr>
        <w:t>在进行新旧衔接的转账时，应当编制转账的工作分录，作为转账的工作底稿，并将转入新账的对应原科目余额及分拆原科目余额的依据作为原始凭证。</w:t>
      </w:r>
      <w:r>
        <w:rPr>
          <w:rFonts w:hint="eastAsia" w:ascii="仿宋" w:hAnsi="仿宋" w:eastAsia="仿宋" w:cs="宋体"/>
          <w:sz w:val="32"/>
          <w:szCs w:val="32"/>
        </w:rPr>
        <w:t>将原基建账各科目余额并入原“大账”相应科目余额的，还要将基建账各科目余额转入“大账</w:t>
      </w:r>
      <w:r>
        <w:rPr>
          <w:rFonts w:ascii="仿宋" w:hAnsi="仿宋" w:eastAsia="仿宋" w:cs="宋体"/>
          <w:sz w:val="32"/>
          <w:szCs w:val="32"/>
        </w:rPr>
        <w:t>”</w:t>
      </w:r>
      <w:r>
        <w:rPr>
          <w:rFonts w:hint="eastAsia" w:ascii="仿宋" w:hAnsi="仿宋" w:eastAsia="仿宋" w:cs="宋体"/>
          <w:sz w:val="32"/>
          <w:szCs w:val="32"/>
        </w:rPr>
        <w:t>科目的依据（并账科目对应表）作为原始凭证。</w:t>
      </w:r>
    </w:p>
    <w:p>
      <w:pPr>
        <w:ind w:firstLine="640" w:firstLineChars="200"/>
        <w:rPr>
          <w:rFonts w:ascii="仿宋" w:hAnsi="仿宋" w:eastAsia="仿宋" w:cs="Times New Roman"/>
          <w:sz w:val="32"/>
          <w:szCs w:val="32"/>
        </w:rPr>
      </w:pPr>
      <w:r>
        <w:rPr>
          <w:rFonts w:hint="eastAsia" w:ascii="仿宋" w:hAnsi="仿宋" w:eastAsia="仿宋" w:cs="宋体"/>
          <w:sz w:val="32"/>
          <w:szCs w:val="32"/>
        </w:rPr>
        <w:t>（二）将原未入账事项登记新账财务会计科目</w:t>
      </w:r>
    </w:p>
    <w:p>
      <w:pPr>
        <w:ind w:firstLine="640" w:firstLineChars="200"/>
        <w:rPr>
          <w:rFonts w:ascii="仿宋" w:hAnsi="仿宋" w:eastAsia="仿宋" w:cs="Times New Roman"/>
          <w:kern w:val="0"/>
          <w:sz w:val="32"/>
          <w:szCs w:val="32"/>
        </w:rPr>
      </w:pPr>
      <w:r>
        <w:rPr>
          <w:rFonts w:ascii="仿宋" w:hAnsi="仿宋" w:eastAsia="仿宋" w:cs="宋体"/>
          <w:sz w:val="32"/>
          <w:szCs w:val="32"/>
        </w:rPr>
        <w:t>1.</w:t>
      </w:r>
      <w:r>
        <w:rPr>
          <w:rFonts w:hint="eastAsia" w:ascii="仿宋" w:hAnsi="仿宋" w:eastAsia="仿宋" w:cs="宋体"/>
          <w:kern w:val="0"/>
          <w:sz w:val="32"/>
          <w:szCs w:val="32"/>
        </w:rPr>
        <w:t>应收股利</w:t>
      </w:r>
    </w:p>
    <w:p>
      <w:pPr>
        <w:ind w:firstLine="640" w:firstLineChars="200"/>
        <w:rPr>
          <w:rFonts w:ascii="仿宋" w:hAnsi="仿宋" w:eastAsia="仿宋" w:cs="Times New Roman"/>
          <w:kern w:val="0"/>
          <w:sz w:val="32"/>
          <w:szCs w:val="32"/>
        </w:rPr>
      </w:pPr>
      <w:r>
        <w:rPr>
          <w:rFonts w:hint="eastAsia" w:ascii="仿宋" w:hAnsi="仿宋" w:eastAsia="仿宋" w:cs="宋体"/>
          <w:kern w:val="0"/>
          <w:sz w:val="32"/>
          <w:szCs w:val="32"/>
        </w:rPr>
        <w:t>林场在新旧制度转换时，应当将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日前未入账的应收股利（宣告派发尚未收到的股利）按照新制度规定记入新账。登记新账时，按照确定的应收股利金额，借记“应收股利”科目，贷记“累计盈余”科目。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2.无形资产</w:t>
      </w:r>
    </w:p>
    <w:p>
      <w:pPr>
        <w:ind w:firstLine="640" w:firstLineChars="200"/>
        <w:rPr>
          <w:rFonts w:ascii="仿宋" w:hAnsi="仿宋" w:eastAsia="仿宋" w:cs="宋体"/>
          <w:sz w:val="32"/>
          <w:szCs w:val="32"/>
        </w:rPr>
      </w:pPr>
      <w:r>
        <w:rPr>
          <w:rFonts w:hint="eastAsia" w:ascii="仿宋" w:hAnsi="仿宋" w:eastAsia="仿宋" w:cs="宋体"/>
          <w:kern w:val="0"/>
          <w:sz w:val="32"/>
          <w:szCs w:val="32"/>
        </w:rPr>
        <w:t>林场在新旧制度转换时，应当将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日前未入账的无形资产按照新制度规定记入新账。登记新账时，按照确定的无形资产金额，借记“无形资产”科目，</w:t>
      </w:r>
      <w:r>
        <w:rPr>
          <w:rFonts w:hint="eastAsia" w:ascii="仿宋" w:hAnsi="仿宋" w:eastAsia="仿宋" w:cs="宋体"/>
          <w:sz w:val="32"/>
          <w:szCs w:val="32"/>
        </w:rPr>
        <w:t>按照截止至</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日无形资产应当分期摊销的累计摊销金额，贷记“无形资产累计摊销”科目，按照两者的差额，贷记“累计盈余”科目。</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3.受托代理资产</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林场在新旧制度转换时，应当将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日前未入账（含仅记录备查账）的代储政府储备物资按照新制度规定记入新账。登记新账时，按照确定的代储政府储备物资金额，借记“受托代理资产”科目，</w:t>
      </w:r>
      <w:r>
        <w:rPr>
          <w:rFonts w:hint="eastAsia" w:ascii="仿宋" w:hAnsi="仿宋" w:eastAsia="仿宋" w:cs="宋体"/>
          <w:sz w:val="32"/>
          <w:szCs w:val="32"/>
        </w:rPr>
        <w:t>贷记“受托代理负债”科目。</w:t>
      </w:r>
    </w:p>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宋体"/>
          <w:sz w:val="32"/>
          <w:szCs w:val="32"/>
        </w:rPr>
        <w:t>4.预计负债</w:t>
      </w:r>
    </w:p>
    <w:p>
      <w:pPr>
        <w:autoSpaceDE w:val="0"/>
        <w:autoSpaceDN w:val="0"/>
        <w:adjustRightInd w:val="0"/>
        <w:ind w:firstLine="480" w:firstLineChars="150"/>
        <w:jc w:val="left"/>
        <w:rPr>
          <w:rFonts w:ascii="仿宋" w:hAnsi="仿宋" w:eastAsia="仿宋" w:cs="Times New Roman"/>
          <w:kern w:val="0"/>
          <w:sz w:val="32"/>
          <w:szCs w:val="32"/>
        </w:rPr>
      </w:pPr>
      <w:r>
        <w:rPr>
          <w:rFonts w:hint="eastAsia" w:ascii="仿宋" w:hAnsi="仿宋" w:eastAsia="仿宋" w:cs="宋体"/>
          <w:kern w:val="0"/>
          <w:sz w:val="32"/>
          <w:szCs w:val="32"/>
        </w:rPr>
        <w:t xml:space="preserve"> 林场在新旧制度转换时，应当将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日按照新制度规定确认的预计负债记入新账。登记新账时，按照确定的预计负债金额，借记“累计盈余”科目，贷记“预计负债”科目。</w:t>
      </w:r>
    </w:p>
    <w:p>
      <w:pPr>
        <w:ind w:firstLine="640" w:firstLineChars="200"/>
        <w:rPr>
          <w:rFonts w:ascii="仿宋" w:hAnsi="仿宋" w:eastAsia="仿宋" w:cs="宋体"/>
          <w:sz w:val="32"/>
          <w:szCs w:val="32"/>
        </w:rPr>
      </w:pPr>
      <w:r>
        <w:rPr>
          <w:rFonts w:hint="eastAsia" w:ascii="仿宋" w:hAnsi="仿宋" w:eastAsia="仿宋" w:cs="宋体"/>
          <w:kern w:val="0"/>
          <w:sz w:val="32"/>
          <w:szCs w:val="32"/>
        </w:rPr>
        <w:t>林场</w:t>
      </w:r>
      <w:r>
        <w:rPr>
          <w:rFonts w:hint="eastAsia" w:ascii="仿宋" w:hAnsi="仿宋" w:eastAsia="仿宋" w:cs="宋体"/>
          <w:sz w:val="32"/>
          <w:szCs w:val="32"/>
        </w:rPr>
        <w:t>存在</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日前未入账的其他事项的，应当比照本规定登记新账的相应科目。</w:t>
      </w:r>
    </w:p>
    <w:p>
      <w:pPr>
        <w:ind w:firstLine="640" w:firstLineChars="200"/>
        <w:rPr>
          <w:rFonts w:ascii="仿宋" w:hAnsi="仿宋" w:eastAsia="仿宋" w:cs="宋体"/>
          <w:sz w:val="32"/>
          <w:szCs w:val="32"/>
        </w:rPr>
      </w:pPr>
      <w:r>
        <w:rPr>
          <w:rFonts w:hint="eastAsia" w:ascii="仿宋" w:hAnsi="仿宋" w:eastAsia="仿宋" w:cs="宋体"/>
          <w:kern w:val="0"/>
          <w:sz w:val="32"/>
          <w:szCs w:val="32"/>
        </w:rPr>
        <w:t>林场</w:t>
      </w:r>
      <w:r>
        <w:rPr>
          <w:rFonts w:hint="eastAsia" w:ascii="仿宋" w:hAnsi="仿宋" w:eastAsia="仿宋" w:cs="Times New Roman"/>
          <w:sz w:val="32"/>
          <w:szCs w:val="32"/>
        </w:rPr>
        <w:t>对新账的财务会计科目补记未入账事项时，应当编制记账凭证，并将补充登记事项的确认依据作为原始凭证。</w:t>
      </w:r>
    </w:p>
    <w:p>
      <w:pPr>
        <w:ind w:firstLine="640" w:firstLineChars="200"/>
        <w:rPr>
          <w:rFonts w:ascii="仿宋" w:hAnsi="仿宋" w:eastAsia="仿宋" w:cs="Times New Roman"/>
          <w:sz w:val="32"/>
          <w:szCs w:val="32"/>
        </w:rPr>
      </w:pPr>
      <w:r>
        <w:rPr>
          <w:rFonts w:hint="eastAsia" w:ascii="仿宋" w:hAnsi="仿宋" w:eastAsia="仿宋" w:cs="宋体"/>
          <w:sz w:val="32"/>
          <w:szCs w:val="32"/>
        </w:rPr>
        <w:t>（三）对新账的相关财务会计科目余额按照新制度规定的核算基础进行调整</w:t>
      </w:r>
    </w:p>
    <w:p>
      <w:pPr>
        <w:ind w:firstLine="640" w:firstLineChars="200"/>
        <w:rPr>
          <w:rFonts w:ascii="仿宋" w:hAnsi="仿宋" w:eastAsia="仿宋" w:cs="Times New Roman"/>
          <w:sz w:val="32"/>
          <w:szCs w:val="32"/>
        </w:rPr>
      </w:pPr>
      <w:r>
        <w:rPr>
          <w:rFonts w:hint="eastAsia" w:ascii="仿宋" w:hAnsi="仿宋" w:eastAsia="仿宋" w:cs="宋体"/>
          <w:sz w:val="32"/>
          <w:szCs w:val="32"/>
        </w:rPr>
        <w:t>1.按照权益法调整长期股权投资账面余额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对按照新制度规定应当采用权益法核算的长期股权投资，在新旧制度转换时，林场应当在“长期股权投资”科目下设置“新旧制度转换调整”明细科目，依据被投资单位</w:t>
      </w:r>
      <w:r>
        <w:rPr>
          <w:rFonts w:ascii="Times New Roman" w:hAnsi="Times New Roman" w:eastAsia="仿宋_GB2312" w:cs="Times New Roman"/>
          <w:sz w:val="32"/>
          <w:szCs w:val="32"/>
        </w:rPr>
        <w:t>2018年12月31日财务报表的所有者权益</w:t>
      </w:r>
      <w:r>
        <w:rPr>
          <w:rFonts w:hint="eastAsia" w:ascii="Times New Roman" w:hAnsi="Times New Roman" w:eastAsia="仿宋_GB2312" w:cs="Times New Roman"/>
          <w:sz w:val="32"/>
          <w:szCs w:val="32"/>
        </w:rPr>
        <w:t>账面余额</w:t>
      </w:r>
      <w:r>
        <w:rPr>
          <w:rFonts w:ascii="Times New Roman" w:hAnsi="Times New Roman" w:eastAsia="仿宋_GB2312" w:cs="Times New Roman"/>
          <w:sz w:val="32"/>
          <w:szCs w:val="32"/>
        </w:rPr>
        <w:t>，以及</w:t>
      </w:r>
      <w:r>
        <w:rPr>
          <w:rFonts w:hint="eastAsia" w:ascii="Times New Roman" w:hAnsi="Times New Roman" w:eastAsia="仿宋_GB2312" w:cs="Times New Roman"/>
          <w:sz w:val="32"/>
          <w:szCs w:val="32"/>
        </w:rPr>
        <w:t>林场持</w:t>
      </w:r>
      <w:r>
        <w:rPr>
          <w:rFonts w:ascii="Times New Roman" w:hAnsi="Times New Roman" w:eastAsia="仿宋_GB2312" w:cs="Times New Roman"/>
          <w:sz w:val="32"/>
          <w:szCs w:val="32"/>
        </w:rPr>
        <w:t>有被投资</w:t>
      </w:r>
      <w:r>
        <w:rPr>
          <w:rFonts w:hint="eastAsia" w:ascii="Times New Roman" w:hAnsi="Times New Roman" w:eastAsia="仿宋_GB2312" w:cs="Times New Roman"/>
          <w:sz w:val="32"/>
          <w:szCs w:val="32"/>
        </w:rPr>
        <w:t>单位的股权比例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计算应享有或应分担的被投资单位所有者权益的份额，调整</w:t>
      </w:r>
      <w:r>
        <w:rPr>
          <w:rFonts w:ascii="Times New Roman" w:hAnsi="Times New Roman" w:eastAsia="仿宋_GB2312" w:cs="Times New Roman"/>
          <w:sz w:val="32"/>
          <w:szCs w:val="32"/>
        </w:rPr>
        <w:t>长期股权投资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账面</w:t>
      </w:r>
      <w:r>
        <w:rPr>
          <w:rFonts w:hint="eastAsia" w:ascii="Times New Roman" w:hAnsi="Times New Roman" w:eastAsia="仿宋_GB2312" w:cs="Times New Roman"/>
          <w:sz w:val="32"/>
          <w:szCs w:val="32"/>
        </w:rPr>
        <w:t>余额，借记或贷记“长期股权投资——新旧制度转换调整”科目，贷记或借记“累计盈余”科目。</w:t>
      </w:r>
    </w:p>
    <w:p>
      <w:pPr>
        <w:ind w:firstLine="640" w:firstLineChars="200"/>
        <w:rPr>
          <w:rFonts w:ascii="仿宋" w:hAnsi="仿宋" w:eastAsia="仿宋" w:cs="宋体"/>
          <w:sz w:val="32"/>
          <w:szCs w:val="32"/>
        </w:rPr>
      </w:pP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确认长期借款期末应付利息</w:t>
      </w:r>
    </w:p>
    <w:p>
      <w:pPr>
        <w:ind w:firstLine="640" w:firstLineChars="200"/>
        <w:rPr>
          <w:rFonts w:ascii="仿宋" w:hAnsi="仿宋" w:eastAsia="仿宋" w:cs="宋体"/>
          <w:sz w:val="32"/>
          <w:szCs w:val="32"/>
        </w:rPr>
      </w:pPr>
      <w:r>
        <w:rPr>
          <w:rFonts w:hint="eastAsia" w:ascii="仿宋" w:hAnsi="仿宋" w:eastAsia="仿宋" w:cs="宋体"/>
          <w:sz w:val="32"/>
          <w:szCs w:val="32"/>
        </w:rPr>
        <w:t>林场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ind w:firstLine="640" w:firstLineChars="200"/>
        <w:rPr>
          <w:rFonts w:ascii="仿宋" w:hAnsi="仿宋" w:eastAsia="仿宋" w:cs="宋体"/>
          <w:sz w:val="32"/>
          <w:szCs w:val="32"/>
        </w:rPr>
      </w:pPr>
      <w:r>
        <w:rPr>
          <w:rFonts w:hint="eastAsia" w:ascii="仿宋" w:hAnsi="仿宋" w:eastAsia="仿宋" w:cs="宋体"/>
          <w:kern w:val="0"/>
          <w:sz w:val="32"/>
          <w:szCs w:val="32"/>
        </w:rPr>
        <w:t>林场</w:t>
      </w:r>
      <w:r>
        <w:rPr>
          <w:rFonts w:hint="eastAsia" w:ascii="仿宋" w:hAnsi="仿宋" w:eastAsia="仿宋" w:cs="Times New Roman"/>
          <w:sz w:val="32"/>
          <w:szCs w:val="32"/>
        </w:rPr>
        <w:t>对新账的财务会计科目期初余额进行调整时，应当编制记账凭证，并将调整事项的确认依据作为原始凭证。</w:t>
      </w:r>
    </w:p>
    <w:p>
      <w:pPr>
        <w:ind w:firstLine="640" w:firstLineChars="200"/>
        <w:rPr>
          <w:rFonts w:ascii="黑体" w:hAnsi="黑体" w:eastAsia="黑体" w:cs="宋体"/>
          <w:bCs/>
          <w:sz w:val="32"/>
          <w:szCs w:val="32"/>
        </w:rPr>
      </w:pPr>
      <w:r>
        <w:rPr>
          <w:rFonts w:hint="eastAsia" w:ascii="黑体" w:hAnsi="黑体" w:eastAsia="黑体" w:cs="宋体"/>
          <w:bCs/>
          <w:sz w:val="32"/>
          <w:szCs w:val="32"/>
        </w:rPr>
        <w:t>三、预算会计科目的新旧衔接</w:t>
      </w:r>
    </w:p>
    <w:p>
      <w:pPr>
        <w:ind w:firstLine="640" w:firstLineChars="200"/>
        <w:rPr>
          <w:rFonts w:ascii="仿宋" w:hAnsi="仿宋" w:eastAsia="仿宋" w:cs="宋体"/>
          <w:sz w:val="32"/>
          <w:szCs w:val="32"/>
        </w:rPr>
      </w:pPr>
      <w:r>
        <w:rPr>
          <w:rFonts w:hint="eastAsia" w:ascii="仿宋" w:hAnsi="仿宋" w:eastAsia="仿宋" w:cs="宋体"/>
          <w:sz w:val="32"/>
          <w:szCs w:val="32"/>
        </w:rPr>
        <w:t>（一）“财政拨款结转”和“财政拨款结余”科目及对应的“资金结存”科目余额</w:t>
      </w:r>
    </w:p>
    <w:p>
      <w:pPr>
        <w:ind w:firstLine="640" w:firstLineChars="200"/>
        <w:rPr>
          <w:rFonts w:ascii="仿宋" w:hAnsi="仿宋" w:eastAsia="仿宋" w:cs="宋体"/>
          <w:sz w:val="32"/>
          <w:szCs w:val="32"/>
        </w:rPr>
      </w:pPr>
      <w:r>
        <w:rPr>
          <w:rFonts w:hint="eastAsia" w:ascii="仿宋" w:hAnsi="仿宋" w:eastAsia="仿宋" w:cs="宋体"/>
          <w:sz w:val="32"/>
          <w:szCs w:val="32"/>
        </w:rPr>
        <w:t>新制度设置了“财政拨款结转”、“财政拨款结余”科目及对应的“资金结存”科目。在新旧制度转换时，林场应当对原账的“财政补助结转（余）”科目余额中结转资金的金额进行逐项分析，加上各项结转转入的支出中已经计入支出尚未支付财政资金（如发生时列支的应付账款）的金额，减去已经支付财政资金尚未计入支出（如预付账款、固定资产和无形资产的净值等）的金额，按照增减后的金额登记新账的“财政拨款结转”科目及其明细科目贷方；按照原账的“财政补助结转（余）”科目余额中结余资金的金额登记新账的“财政拨款结余”科目及其明细科目贷方。</w:t>
      </w:r>
    </w:p>
    <w:p>
      <w:pPr>
        <w:ind w:firstLine="640" w:firstLineChars="200"/>
        <w:rPr>
          <w:rFonts w:ascii="仿宋" w:hAnsi="仿宋" w:eastAsia="仿宋" w:cs="宋体"/>
          <w:sz w:val="32"/>
          <w:szCs w:val="32"/>
        </w:rPr>
      </w:pPr>
      <w:r>
        <w:rPr>
          <w:rFonts w:hint="eastAsia" w:ascii="仿宋" w:hAnsi="仿宋" w:eastAsia="仿宋" w:cs="宋体"/>
          <w:sz w:val="32"/>
          <w:szCs w:val="32"/>
        </w:rPr>
        <w:t>原账的“拨入事业费”科目有余额的，对余额中属于同级财政拨款资金的，按照原账的“财政补助结转（余）”科目余额处理方式处理。</w:t>
      </w:r>
    </w:p>
    <w:p>
      <w:pPr>
        <w:ind w:firstLine="640" w:firstLineChars="200"/>
        <w:rPr>
          <w:rFonts w:ascii="仿宋" w:hAnsi="仿宋" w:eastAsia="仿宋" w:cs="宋体"/>
          <w:sz w:val="32"/>
          <w:szCs w:val="32"/>
        </w:rPr>
      </w:pPr>
      <w:r>
        <w:rPr>
          <w:rFonts w:hint="eastAsia" w:ascii="仿宋" w:hAnsi="仿宋" w:eastAsia="仿宋" w:cs="宋体"/>
          <w:sz w:val="32"/>
          <w:szCs w:val="32"/>
        </w:rPr>
        <w:t>按照原账“财政应返还额度”科目余额登记新账“资金结存——财政应返还额度”科目的借方。按照新账“财政拨款结转”和“财政拨款结余”科目贷方余额减去新账“资金结存——财政应返还额度”科目借方余额后的差额，登记新账“资金结存——货币资金”科目的借方。</w:t>
      </w:r>
    </w:p>
    <w:p>
      <w:pPr>
        <w:ind w:firstLine="564"/>
        <w:rPr>
          <w:rFonts w:ascii="仿宋" w:hAnsi="仿宋" w:eastAsia="仿宋" w:cs="宋体"/>
          <w:sz w:val="32"/>
          <w:szCs w:val="32"/>
        </w:rPr>
      </w:pPr>
      <w:r>
        <w:rPr>
          <w:rFonts w:hint="eastAsia" w:ascii="仿宋" w:hAnsi="仿宋" w:eastAsia="仿宋" w:cs="宋体"/>
          <w:sz w:val="32"/>
          <w:szCs w:val="32"/>
        </w:rPr>
        <w:t>（二）“非财政拨款结转”科目及对应的“资金结存”科目余额</w:t>
      </w:r>
    </w:p>
    <w:p>
      <w:pPr>
        <w:ind w:firstLine="640" w:firstLineChars="200"/>
        <w:rPr>
          <w:rFonts w:ascii="仿宋" w:hAnsi="仿宋" w:eastAsia="仿宋" w:cs="宋体"/>
          <w:sz w:val="32"/>
          <w:szCs w:val="32"/>
        </w:rPr>
      </w:pPr>
      <w:r>
        <w:rPr>
          <w:rFonts w:hint="eastAsia" w:ascii="仿宋" w:hAnsi="仿宋" w:eastAsia="仿宋" w:cs="宋体"/>
          <w:sz w:val="32"/>
          <w:szCs w:val="32"/>
        </w:rPr>
        <w:t>新制度设置了“非财政拨款结转”科目及对应的“资金结存”科目。在新旧制度转换时，林场应当对原账的“专项应付款”科目余额经过调整［加上支出中已经计入支出尚未支付非财政专项资金（如发生时列支的应付账款）的金额，减去已经支付非财政专项资金尚未计入支出（如预付账款、固定资产和无形资产的净值等）的金额，加上收入中已经收到非财政补助专项资金尚未计入收入（如预收账款）的金额，减去已经计入收入尚未收到非财政补助专项资金（如应收账款）的金额］后，登记新账的“非财政拨款结转”科目及其明细科目贷方；同时，按照相同的金额登记新账“资金结存——货币资金”科目的借方。</w:t>
      </w:r>
    </w:p>
    <w:p>
      <w:pPr>
        <w:ind w:firstLine="564"/>
        <w:rPr>
          <w:rFonts w:ascii="仿宋" w:hAnsi="仿宋" w:eastAsia="仿宋" w:cs="Times New Roman"/>
          <w:sz w:val="32"/>
          <w:szCs w:val="32"/>
        </w:rPr>
      </w:pPr>
      <w:r>
        <w:rPr>
          <w:rFonts w:hint="eastAsia" w:ascii="仿宋" w:hAnsi="仿宋" w:eastAsia="仿宋" w:cs="宋体"/>
          <w:sz w:val="32"/>
          <w:szCs w:val="32"/>
        </w:rPr>
        <w:t>（三）“专用结余”科目及对应的“资金结存”科目余额</w:t>
      </w:r>
    </w:p>
    <w:p>
      <w:pPr>
        <w:ind w:firstLine="5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专用结余”科目及对应的“资金结存”科目。在新旧制度转换时，林场应当按照原账“专用基金”科目余额中通过非财政补助结余分配形成的金额，借记新账的“资金结存——货币资金”科目，贷记新账的“专用结余”科目。</w:t>
      </w:r>
    </w:p>
    <w:p>
      <w:pPr>
        <w:ind w:firstLine="564"/>
        <w:rPr>
          <w:rFonts w:ascii="仿宋" w:hAnsi="仿宋" w:eastAsia="仿宋" w:cs="宋体"/>
          <w:sz w:val="32"/>
          <w:szCs w:val="32"/>
        </w:rPr>
      </w:pPr>
      <w:r>
        <w:rPr>
          <w:rFonts w:hint="eastAsia" w:ascii="仿宋" w:hAnsi="仿宋" w:eastAsia="仿宋" w:cs="宋体"/>
          <w:sz w:val="32"/>
          <w:szCs w:val="32"/>
        </w:rPr>
        <w:t>（四）“非财政拨款结余”科目及对应的“资金结存”科目余额</w:t>
      </w:r>
    </w:p>
    <w:p>
      <w:pPr>
        <w:ind w:firstLine="640" w:firstLineChars="200"/>
        <w:rPr>
          <w:rFonts w:ascii="仿宋" w:hAnsi="仿宋" w:eastAsia="仿宋" w:cs="宋体"/>
          <w:sz w:val="32"/>
          <w:szCs w:val="32"/>
        </w:rPr>
      </w:pPr>
      <w:r>
        <w:rPr>
          <w:rFonts w:hint="eastAsia" w:ascii="仿宋" w:hAnsi="仿宋" w:eastAsia="仿宋" w:cs="宋体"/>
          <w:sz w:val="32"/>
          <w:szCs w:val="32"/>
        </w:rPr>
        <w:t>1.登记“非财政拨款结余”科目余额</w:t>
      </w:r>
    </w:p>
    <w:p>
      <w:pPr>
        <w:ind w:firstLine="640" w:firstLineChars="200"/>
        <w:rPr>
          <w:rFonts w:ascii="仿宋" w:hAnsi="仿宋" w:eastAsia="仿宋" w:cs="宋体"/>
          <w:sz w:val="32"/>
          <w:szCs w:val="32"/>
        </w:rPr>
      </w:pPr>
      <w:r>
        <w:rPr>
          <w:rFonts w:hint="eastAsia" w:ascii="仿宋" w:hAnsi="仿宋" w:eastAsia="仿宋" w:cs="宋体"/>
          <w:sz w:val="32"/>
          <w:szCs w:val="32"/>
        </w:rPr>
        <w:t>按照原账“事业基金”科目的余额，登记新账的“非财政拨款结余”科目贷方，同时，按照相同的金额登记新账的“资金结存——货币资金”科目的借方。</w:t>
      </w:r>
    </w:p>
    <w:p>
      <w:pPr>
        <w:ind w:firstLine="640" w:firstLineChars="200"/>
        <w:rPr>
          <w:rFonts w:ascii="仿宋" w:hAnsi="仿宋" w:eastAsia="仿宋" w:cs="宋体"/>
          <w:sz w:val="32"/>
          <w:szCs w:val="32"/>
        </w:rPr>
      </w:pPr>
      <w:r>
        <w:rPr>
          <w:rFonts w:hint="eastAsia" w:ascii="仿宋" w:hAnsi="仿宋" w:eastAsia="仿宋" w:cs="宋体"/>
          <w:sz w:val="32"/>
          <w:szCs w:val="32"/>
        </w:rPr>
        <w:t>原账的“拨入事业费”科目有余额的，按照原账的“拨入事业费”科目余额中非同级财政拨款的金额，登记新账的“非财政拨款结余”科目贷方，同时，按照相同的金额登记新账的“资金结存——货币资金”科目的借方。</w:t>
      </w:r>
    </w:p>
    <w:p>
      <w:pPr>
        <w:ind w:firstLine="640" w:firstLineChars="200"/>
        <w:rPr>
          <w:rFonts w:ascii="仿宋" w:hAnsi="仿宋" w:eastAsia="仿宋" w:cs="宋体"/>
          <w:sz w:val="32"/>
          <w:szCs w:val="32"/>
        </w:rPr>
      </w:pPr>
      <w:r>
        <w:rPr>
          <w:rFonts w:hint="eastAsia" w:ascii="仿宋" w:hAnsi="仿宋" w:eastAsia="仿宋" w:cs="宋体"/>
          <w:sz w:val="32"/>
          <w:szCs w:val="32"/>
        </w:rPr>
        <w:t>原账的“育林基金”科目有余额的，按照原账的“育林基金”科目余额，登记新账的“非财政拨款结余”科目贷方，同时，按照相同的金额登记新账的“资金结存——货币资金”科目的借方。</w:t>
      </w:r>
    </w:p>
    <w:p>
      <w:pPr>
        <w:ind w:firstLine="640" w:firstLineChars="200"/>
        <w:rPr>
          <w:rFonts w:ascii="仿宋" w:hAnsi="仿宋" w:eastAsia="仿宋" w:cs="宋体"/>
          <w:sz w:val="32"/>
          <w:szCs w:val="32"/>
        </w:rPr>
      </w:pPr>
      <w:r>
        <w:rPr>
          <w:rFonts w:hint="eastAsia" w:ascii="仿宋" w:hAnsi="仿宋" w:eastAsia="仿宋" w:cs="宋体"/>
          <w:sz w:val="32"/>
          <w:szCs w:val="32"/>
        </w:rPr>
        <w:t>2.对新账“非财政拨款结余”科目及“资金结存”科目余额进行追溯调整</w:t>
      </w:r>
    </w:p>
    <w:p>
      <w:pPr>
        <w:ind w:firstLine="640" w:firstLineChars="200"/>
        <w:rPr>
          <w:rFonts w:ascii="仿宋" w:hAnsi="仿宋" w:eastAsia="仿宋" w:cs="宋体"/>
          <w:sz w:val="32"/>
          <w:szCs w:val="32"/>
        </w:rPr>
      </w:pPr>
      <w:r>
        <w:rPr>
          <w:rFonts w:hint="eastAsia" w:ascii="仿宋" w:hAnsi="仿宋" w:eastAsia="仿宋" w:cs="宋体"/>
          <w:sz w:val="32"/>
          <w:szCs w:val="32"/>
        </w:rPr>
        <w:t>（1）调整短期投资对非财政拨款结余的影响</w:t>
      </w:r>
    </w:p>
    <w:p>
      <w:pPr>
        <w:ind w:firstLine="640" w:firstLineChars="200"/>
        <w:rPr>
          <w:rFonts w:ascii="仿宋" w:hAnsi="仿宋" w:eastAsia="仿宋" w:cs="Times New Roman"/>
          <w:sz w:val="32"/>
          <w:szCs w:val="32"/>
        </w:rPr>
      </w:pPr>
      <w:r>
        <w:rPr>
          <w:rFonts w:hint="eastAsia" w:ascii="仿宋" w:hAnsi="仿宋" w:eastAsia="仿宋" w:cs="宋体"/>
          <w:sz w:val="32"/>
          <w:szCs w:val="32"/>
        </w:rPr>
        <w:t>按照原账的“短期投资”科目余额，借记“非财政拨款结余”科目，贷记“资金结存——货币资金”科目。</w:t>
      </w:r>
    </w:p>
    <w:p>
      <w:pPr>
        <w:ind w:firstLine="408"/>
        <w:rPr>
          <w:rFonts w:ascii="仿宋" w:hAnsi="仿宋" w:eastAsia="仿宋" w:cs="宋体"/>
          <w:sz w:val="32"/>
          <w:szCs w:val="32"/>
        </w:rPr>
      </w:pPr>
      <w:r>
        <w:rPr>
          <w:rFonts w:hint="eastAsia" w:ascii="仿宋" w:hAnsi="仿宋" w:eastAsia="仿宋" w:cs="宋体"/>
          <w:sz w:val="32"/>
          <w:szCs w:val="32"/>
        </w:rPr>
        <w:t xml:space="preserve"> （2）调整应收票据、应收账款对非财政拨款结余的影响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应收票据”、“应收账款”科目余额进行分析，区分其中发生时计入收入的金额和没有计入收入的金额。对发生时计入收入的金额，再区分计入专项资金收入的金额和计入非专项资金收入的金额，按照计入非专项资金收入的金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（3）调整预付账款对非财政拨款结余的影响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预付账款”科目余额进行分析，区分其中由财政补助资金预付的金额、非财政补助专项资金预付的金额和非财政补助非专项资金预付的金额，按照非财政补助非专项资金预付的金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（4）调整其他应收款对非财政拨款结余的影响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按照新制度规定将原账其他应收款中的预付款项列入预算支出的，应当对转账前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 “非财政拨款结余”科目，贷记“资金结存——货币资金”科目。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（5）调整库存物资、生产成本等对非财政拨款结余的影响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w:t>
      </w:r>
      <w:r>
        <w:rPr>
          <w:rFonts w:hint="eastAsia" w:ascii="仿宋" w:hAnsi="仿宋" w:eastAsia="仿宋" w:cs="宋体"/>
          <w:kern w:val="0"/>
          <w:sz w:val="32"/>
          <w:szCs w:val="32"/>
        </w:rPr>
        <w:t>“库存物资”、“生产成本”</w:t>
      </w:r>
      <w:r>
        <w:rPr>
          <w:rFonts w:hint="eastAsia" w:ascii="仿宋" w:hAnsi="仿宋" w:eastAsia="仿宋" w:cs="宋体"/>
          <w:sz w:val="32"/>
          <w:szCs w:val="32"/>
        </w:rPr>
        <w:t>科目余额进行分析，区分已经支付资金的金额和未支付资金购入的金额。对已经支付资金的库存物资和生产成本金额划分出其中使用财政补助资金支付的金额、使用非财政补助专项资金支付的金额、使用非财政补助非专项资金购入的金额，按照使用非财政补助非专项资金支付的金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（6）调整长期股权投资对非财政拨款结余的影响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（7）调整长期债券投资对非财政拨款结余的影响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按原账的“长期投资”科目余额中属于债券投资成本的余额，借记“非财政拨款结余”科目，贷记“资金结存——货币资金”科目。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（8）调整固定资产、无形资产对非财政拨款结余的影响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固定资产”、“无形资产”科目余额进行分析，区分出其中使用财政补助资金支付的金额、使用非财政补助专项资金支付的金额、使用非财政补助非专项资金购入的金额，按照使用非财政补助非专款资金比例计算的固定资产净值和无形资产净值的金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（9）调整在建工程对非财政拨款结余的影响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在建工程”科目余额进行分析，划分出其中使用财政补助资金支付的金额、使用非财政补助专项资金支付的金额、使用非财政补助非专项资金购入的金额，按照使用非财政补助非专款资金的金额，借记“非财政拨款结余”科目，贷记“资金结存——货币资金”科目。</w:t>
      </w:r>
    </w:p>
    <w:p>
      <w:pPr>
        <w:ind w:firstLine="640" w:firstLineChars="200"/>
        <w:rPr>
          <w:rFonts w:ascii="仿宋" w:hAnsi="仿宋" w:eastAsia="仿宋" w:cs="宋体"/>
          <w:sz w:val="32"/>
          <w:szCs w:val="32"/>
        </w:rPr>
      </w:pPr>
      <w:r>
        <w:rPr>
          <w:rFonts w:hint="eastAsia" w:ascii="仿宋" w:hAnsi="仿宋" w:eastAsia="仿宋" w:cs="宋体"/>
          <w:sz w:val="32"/>
          <w:szCs w:val="32"/>
        </w:rPr>
        <w:t>（10）调整短期借款、长期借款对非财政拨款结余的影响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按照原账的“短期借款”、“长期借款”科目余额中借款本金的金额，借记“资金结存——货币资金”科目，贷记“非财政拨款结余”科目。</w:t>
      </w:r>
    </w:p>
    <w:p>
      <w:pPr>
        <w:ind w:firstLine="640" w:firstLineChars="200"/>
        <w:rPr>
          <w:rFonts w:ascii="仿宋" w:hAnsi="仿宋" w:eastAsia="仿宋" w:cs="Times New Roman"/>
          <w:sz w:val="32"/>
          <w:szCs w:val="32"/>
        </w:rPr>
      </w:pPr>
      <w:r>
        <w:rPr>
          <w:rFonts w:hint="eastAsia" w:ascii="仿宋" w:hAnsi="仿宋" w:eastAsia="仿宋" w:cs="宋体"/>
          <w:sz w:val="32"/>
          <w:szCs w:val="32"/>
        </w:rPr>
        <w:t>（11）调整应付票据、应付账款对非财政拨款结余的影响</w:t>
      </w:r>
    </w:p>
    <w:p>
      <w:pPr>
        <w:ind w:firstLine="640" w:firstLineChars="200"/>
        <w:rPr>
          <w:rFonts w:ascii="仿宋" w:hAnsi="仿宋" w:eastAsia="仿宋" w:cs="宋体"/>
          <w:sz w:val="32"/>
          <w:szCs w:val="32"/>
        </w:rPr>
      </w:pPr>
      <w:r>
        <w:rPr>
          <w:rFonts w:hint="eastAsia" w:ascii="仿宋" w:hAnsi="仿宋" w:eastAsia="仿宋" w:cs="宋体"/>
          <w:sz w:val="32"/>
          <w:szCs w:val="32"/>
        </w:rPr>
        <w:t>对原账的“应付票据”、“应付账款”科目余额进行分析，区分其中发生时计入支出的金额和未计入支出的金额。将计入支出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640" w:firstLineChars="200"/>
        <w:rPr>
          <w:rFonts w:ascii="仿宋" w:hAnsi="仿宋" w:eastAsia="仿宋" w:cs="宋体"/>
          <w:sz w:val="32"/>
          <w:szCs w:val="32"/>
        </w:rPr>
      </w:pPr>
      <w:r>
        <w:rPr>
          <w:rFonts w:hint="eastAsia" w:ascii="仿宋" w:hAnsi="仿宋" w:eastAsia="仿宋" w:cs="宋体"/>
          <w:sz w:val="32"/>
          <w:szCs w:val="32"/>
        </w:rPr>
        <w:t>（12）调整预收账款对非财政拨款结余的影响</w:t>
      </w:r>
    </w:p>
    <w:p>
      <w:pPr>
        <w:ind w:firstLine="564"/>
        <w:rPr>
          <w:rFonts w:ascii="仿宋" w:hAnsi="仿宋" w:eastAsia="仿宋" w:cs="宋体"/>
          <w:sz w:val="32"/>
          <w:szCs w:val="32"/>
        </w:rPr>
      </w:pPr>
      <w:r>
        <w:rPr>
          <w:rFonts w:hint="eastAsia" w:ascii="仿宋" w:hAnsi="仿宋" w:eastAsia="仿宋" w:cs="宋体"/>
          <w:sz w:val="32"/>
          <w:szCs w:val="32"/>
        </w:rPr>
        <w:t>对原账的“预收账款”科目余额进行分析，区分其中预收非财政专项资金的金额和预收非财政非专项资金的金额。按照预收非财政非专项资金的金额，借记“资金结存——货币资金”科目，贷记“非财政拨款结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（13）调整专用基金对非财政拨款结余的影响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对原账“专用基金”科目余额进行分析，区分通过非财政补助结余分配形成的金额和其他金额，按照其他金额，借记“资金结存——货币资金”科目，贷记“非财政拨款结余”科目。</w:t>
      </w:r>
    </w:p>
    <w:p>
      <w:pPr>
        <w:ind w:firstLine="564"/>
        <w:rPr>
          <w:rFonts w:ascii="Times New Roman" w:hAnsi="Times New Roman" w:eastAsia="仿宋" w:cs="Times New Roman"/>
          <w:sz w:val="32"/>
          <w:szCs w:val="32"/>
        </w:rPr>
      </w:pPr>
      <w:r>
        <w:rPr>
          <w:rFonts w:hint="eastAsia" w:ascii="Times New Roman" w:hAnsi="Times New Roman" w:eastAsia="仿宋_GB2312" w:cs="Times New Roman"/>
          <w:sz w:val="32"/>
          <w:szCs w:val="32"/>
        </w:rPr>
        <w:t>3. 林场按照前述1、2两个步骤难以准确调整出</w:t>
      </w:r>
      <w:r>
        <w:rPr>
          <w:rFonts w:hint="eastAsia" w:ascii="仿宋" w:hAnsi="仿宋" w:eastAsia="仿宋" w:cs="宋体"/>
          <w:sz w:val="32"/>
          <w:szCs w:val="32"/>
        </w:rPr>
        <w:t>“非财政拨款结余”科目及对应的“资金结存”科目余额的，</w:t>
      </w:r>
      <w:r>
        <w:rPr>
          <w:rFonts w:hint="eastAsia" w:ascii="Times New Roman" w:hAnsi="Times New Roman" w:eastAsia="仿宋_GB2312" w:cs="Times New Roman"/>
          <w:sz w:val="32"/>
          <w:szCs w:val="32"/>
        </w:rPr>
        <w:t>在新旧制度转换时，可以在新账的“库存现金”、“银行存款”、“其他货币资金”、“财政应返还额度”科目借方余额合计数基础上，对不纳入单位预算管理的资金进行调整</w:t>
      </w:r>
      <w:r>
        <w:rPr>
          <w:rFonts w:hint="eastAsia" w:ascii="仿宋" w:hAnsi="仿宋" w:eastAsia="仿宋" w:cs="宋体"/>
          <w:sz w:val="32"/>
          <w:szCs w:val="32"/>
        </w:rPr>
        <w:t>(如减去新账中货币资金形式的受托代理资产、</w:t>
      </w:r>
      <w:r>
        <w:rPr>
          <w:rFonts w:hint="eastAsia" w:ascii="Times New Roman" w:hAnsi="Times New Roman" w:eastAsia="仿宋_GB2312" w:cs="Times New Roman"/>
          <w:sz w:val="32"/>
          <w:szCs w:val="32"/>
        </w:rPr>
        <w:t>应缴财政款、已收取将来需要退回资金的其他应付款等，加上已支付将来需要收回资金的其他应收款等</w:t>
      </w:r>
      <w:r>
        <w:rPr>
          <w:rFonts w:hint="eastAsia" w:ascii="仿宋" w:hAnsi="仿宋" w:eastAsia="仿宋" w:cs="宋体"/>
          <w:sz w:val="32"/>
          <w:szCs w:val="32"/>
        </w:rPr>
        <w:t>），按照调整后的金额减去</w:t>
      </w:r>
      <w:r>
        <w:rPr>
          <w:rFonts w:hint="eastAsia" w:ascii="Times New Roman" w:hAnsi="Times New Roman" w:eastAsia="仿宋_GB2312" w:cs="Times New Roman"/>
          <w:sz w:val="32"/>
          <w:szCs w:val="32"/>
        </w:rPr>
        <w:t>新账的“财政拨款结转”、“财政拨款结余”、“非财政拨款结转”、“专用结余”科目贷方余额合计数，登记新账的“非财政拨款结余”科目贷方；同时，按照相同的金额</w:t>
      </w:r>
      <w:r>
        <w:rPr>
          <w:rFonts w:hint="eastAsia" w:ascii="仿宋" w:hAnsi="仿宋" w:eastAsia="仿宋" w:cs="宋体"/>
          <w:sz w:val="32"/>
          <w:szCs w:val="32"/>
        </w:rPr>
        <w:t>登记新账的“资金结存——货币资金”科目借方。</w:t>
      </w:r>
    </w:p>
    <w:p>
      <w:pPr>
        <w:ind w:firstLine="564"/>
        <w:rPr>
          <w:rFonts w:ascii="仿宋" w:hAnsi="仿宋" w:eastAsia="仿宋" w:cs="Times New Roman"/>
          <w:sz w:val="32"/>
          <w:szCs w:val="32"/>
        </w:rPr>
      </w:pPr>
      <w:r>
        <w:rPr>
          <w:rFonts w:hint="eastAsia" w:ascii="仿宋" w:hAnsi="仿宋" w:eastAsia="仿宋" w:cs="宋体"/>
          <w:sz w:val="32"/>
          <w:szCs w:val="32"/>
        </w:rPr>
        <w:t>（五）“其他结余”和“非财政拨款结余分配”科目</w:t>
      </w:r>
    </w:p>
    <w:p>
      <w:pPr>
        <w:ind w:firstLine="564"/>
        <w:rPr>
          <w:rFonts w:ascii="仿宋" w:hAnsi="仿宋" w:eastAsia="仿宋" w:cs="Times New Roman"/>
          <w:sz w:val="32"/>
          <w:szCs w:val="32"/>
        </w:rPr>
      </w:pPr>
      <w:r>
        <w:rPr>
          <w:rFonts w:hint="eastAsia" w:ascii="仿宋" w:hAnsi="仿宋" w:eastAsia="仿宋" w:cs="宋体"/>
          <w:sz w:val="32"/>
          <w:szCs w:val="32"/>
        </w:rPr>
        <w:t>新制度设置了“其他结余”和“非财政拨款结余分配”科目，按照新制度规定这两个科目年初无余额</w:t>
      </w:r>
      <w:r>
        <w:rPr>
          <w:rFonts w:hint="eastAsia" w:ascii="仿宋" w:hAnsi="仿宋" w:eastAsia="仿宋" w:cs="宋体"/>
          <w:kern w:val="0"/>
          <w:sz w:val="32"/>
          <w:szCs w:val="32"/>
        </w:rPr>
        <w:t>，</w:t>
      </w:r>
      <w:r>
        <w:rPr>
          <w:rFonts w:hint="eastAsia" w:ascii="仿宋" w:hAnsi="仿宋" w:eastAsia="仿宋" w:cs="宋体"/>
          <w:sz w:val="32"/>
          <w:szCs w:val="32"/>
        </w:rPr>
        <w:t>在新旧衔接时</w:t>
      </w:r>
      <w:r>
        <w:rPr>
          <w:rFonts w:hint="eastAsia" w:ascii="仿宋" w:hAnsi="仿宋" w:eastAsia="仿宋" w:cs="宋体"/>
          <w:kern w:val="0"/>
          <w:sz w:val="32"/>
          <w:szCs w:val="32"/>
        </w:rPr>
        <w:t>，无需对</w:t>
      </w:r>
      <w:r>
        <w:rPr>
          <w:rFonts w:hint="eastAsia" w:ascii="仿宋" w:hAnsi="仿宋" w:eastAsia="仿宋" w:cs="宋体"/>
          <w:sz w:val="32"/>
          <w:szCs w:val="32"/>
        </w:rPr>
        <w:t>“其他结余”和“非财政拨款结余分配”科目进行新账年初余额登记。</w:t>
      </w:r>
    </w:p>
    <w:p>
      <w:pPr>
        <w:ind w:firstLine="640" w:firstLineChars="200"/>
        <w:rPr>
          <w:rFonts w:ascii="仿宋" w:hAnsi="仿宋" w:eastAsia="仿宋" w:cs="Times New Roman"/>
          <w:sz w:val="32"/>
          <w:szCs w:val="32"/>
        </w:rPr>
      </w:pPr>
      <w:r>
        <w:rPr>
          <w:rFonts w:hint="eastAsia" w:ascii="仿宋" w:hAnsi="仿宋" w:eastAsia="仿宋" w:cs="宋体"/>
          <w:sz w:val="32"/>
          <w:szCs w:val="32"/>
        </w:rPr>
        <w:t>（六）预算收入类、预算支出类会计科目</w:t>
      </w:r>
    </w:p>
    <w:p>
      <w:pPr>
        <w:ind w:firstLine="420"/>
        <w:rPr>
          <w:rFonts w:ascii="仿宋" w:hAnsi="仿宋" w:eastAsia="仿宋" w:cs="Times New Roman"/>
          <w:sz w:val="32"/>
          <w:szCs w:val="32"/>
        </w:rPr>
      </w:pPr>
      <w:r>
        <w:rPr>
          <w:rFonts w:hint="eastAsia" w:ascii="仿宋" w:hAnsi="仿宋" w:eastAsia="仿宋" w:cs="宋体"/>
          <w:sz w:val="32"/>
          <w:szCs w:val="32"/>
        </w:rPr>
        <w:t xml:space="preserve"> 由于预算收入类、预算支出类会计科目年初无余额，在新旧衔接时</w:t>
      </w:r>
      <w:r>
        <w:rPr>
          <w:rFonts w:hint="eastAsia" w:ascii="仿宋" w:hAnsi="仿宋" w:eastAsia="仿宋" w:cs="宋体"/>
          <w:kern w:val="0"/>
          <w:sz w:val="32"/>
          <w:szCs w:val="32"/>
        </w:rPr>
        <w:t>，无需对</w:t>
      </w:r>
      <w:r>
        <w:rPr>
          <w:rFonts w:hint="eastAsia" w:ascii="仿宋" w:hAnsi="仿宋" w:eastAsia="仿宋" w:cs="宋体"/>
          <w:sz w:val="32"/>
          <w:szCs w:val="32"/>
        </w:rPr>
        <w:t>预算收入类、预算支出类会计科目进行新账年初余额登记。</w:t>
      </w:r>
    </w:p>
    <w:p>
      <w:pPr>
        <w:ind w:firstLine="420"/>
        <w:rPr>
          <w:rFonts w:ascii="仿宋" w:hAnsi="仿宋" w:eastAsia="仿宋" w:cs="Times New Roman"/>
          <w:sz w:val="32"/>
          <w:szCs w:val="32"/>
        </w:rPr>
      </w:pPr>
      <w:r>
        <w:rPr>
          <w:rFonts w:hint="eastAsia" w:ascii="仿宋" w:hAnsi="仿宋" w:eastAsia="仿宋" w:cs="宋体"/>
          <w:sz w:val="32"/>
          <w:szCs w:val="32"/>
        </w:rPr>
        <w:t xml:space="preserve"> 林场应当自</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日起，按照新制度设置预算收入类、预算支出类科目并进行账务处理。</w:t>
      </w:r>
    </w:p>
    <w:p>
      <w:pPr>
        <w:ind w:firstLine="640" w:firstLineChars="200"/>
        <w:rPr>
          <w:rFonts w:ascii="仿宋" w:hAnsi="仿宋" w:eastAsia="仿宋" w:cs="宋体"/>
          <w:sz w:val="32"/>
          <w:szCs w:val="32"/>
        </w:rPr>
      </w:pPr>
      <w:r>
        <w:rPr>
          <w:rFonts w:hint="eastAsia" w:ascii="仿宋" w:hAnsi="仿宋" w:eastAsia="仿宋" w:cs="宋体"/>
          <w:sz w:val="32"/>
          <w:szCs w:val="32"/>
        </w:rPr>
        <w:t>林场存在</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日需要按照新制度预算会计核算基础调整预算会计科目期初余额的其他事项，应当比照本规定调整新账的相应预算会计科目期初余额。</w:t>
      </w:r>
    </w:p>
    <w:p>
      <w:pPr>
        <w:ind w:firstLine="640" w:firstLineChars="200"/>
        <w:rPr>
          <w:rFonts w:ascii="仿宋" w:hAnsi="仿宋" w:eastAsia="仿宋" w:cs="Times New Roman"/>
          <w:sz w:val="32"/>
          <w:szCs w:val="32"/>
        </w:rPr>
      </w:pPr>
      <w:r>
        <w:rPr>
          <w:rFonts w:hint="eastAsia" w:ascii="仿宋" w:hAnsi="仿宋" w:eastAsia="仿宋" w:cs="宋体"/>
          <w:sz w:val="32"/>
          <w:szCs w:val="32"/>
        </w:rPr>
        <w:t>林场对预算会计科目的期初余额登记和调整，应当编制记账凭证，并将期初余额登记和调整的依据作为原始凭证。</w:t>
      </w:r>
    </w:p>
    <w:p>
      <w:pPr>
        <w:ind w:firstLine="640" w:firstLineChars="200"/>
        <w:rPr>
          <w:rFonts w:ascii="黑体" w:hAnsi="黑体" w:eastAsia="黑体" w:cs="Times New Roman"/>
          <w:bCs/>
          <w:sz w:val="32"/>
          <w:szCs w:val="32"/>
        </w:rPr>
      </w:pPr>
      <w:r>
        <w:rPr>
          <w:rFonts w:hint="eastAsia" w:ascii="黑体" w:hAnsi="黑体" w:eastAsia="黑体" w:cs="宋体"/>
          <w:bCs/>
          <w:sz w:val="32"/>
          <w:szCs w:val="32"/>
        </w:rPr>
        <w:t>四、财务报表和预算会计报表的新旧衔接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（一）编制</w:t>
      </w:r>
      <w:r>
        <w:rPr>
          <w:rFonts w:ascii="Times New Roman" w:hAnsi="Times New Roman" w:eastAsia="仿宋_GB2312" w:cs="Times New Roman"/>
          <w:sz w:val="32"/>
          <w:szCs w:val="32"/>
        </w:rPr>
        <w:t>2019年1月1日资产负债表</w:t>
      </w:r>
    </w:p>
    <w:p>
      <w:pPr>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林场应当根据</w:t>
      </w:r>
      <w:r>
        <w:rPr>
          <w:rFonts w:ascii="Times New Roman" w:hAnsi="Times New Roman" w:eastAsia="仿宋_GB2312" w:cs="Times New Roman"/>
          <w:sz w:val="32"/>
          <w:szCs w:val="32"/>
        </w:rPr>
        <w:t>2019年1月1日新账</w:t>
      </w:r>
      <w:r>
        <w:rPr>
          <w:rFonts w:hint="eastAsia" w:ascii="Times New Roman" w:hAnsi="Times New Roman" w:eastAsia="仿宋_GB2312" w:cs="Times New Roman"/>
          <w:sz w:val="32"/>
          <w:szCs w:val="32"/>
        </w:rPr>
        <w:t>的财务会计科目</w:t>
      </w:r>
      <w:r>
        <w:rPr>
          <w:rFonts w:ascii="Times New Roman" w:hAnsi="Times New Roman" w:eastAsia="仿宋_GB2312" w:cs="Times New Roman"/>
          <w:sz w:val="32"/>
          <w:szCs w:val="32"/>
        </w:rPr>
        <w:t>余额，按照新制度编制2019年1月1日资产负债表</w:t>
      </w:r>
      <w:r>
        <w:rPr>
          <w:rFonts w:hint="eastAsia" w:ascii="Times New Roman" w:hAnsi="Times New Roman" w:eastAsia="仿宋_GB2312" w:cs="Times New Roman"/>
          <w:sz w:val="32"/>
          <w:szCs w:val="32"/>
        </w:rPr>
        <w:t>（仅要求填列各项目“年初余额”）。</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年度财务报表和预算会计报表的编制</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林场应当按照新制度规定编制</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年财务报表和预算会计报表。在编制2019年度收入费用表、净资产变动表和预算收入支出表、预算结转结余变动表时，不要求填列上年比较数。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林场应当根据</w:t>
      </w:r>
      <w:r>
        <w:rPr>
          <w:rFonts w:ascii="Times New Roman" w:hAnsi="Times New Roman" w:eastAsia="仿宋_GB2312" w:cs="Times New Roman"/>
          <w:sz w:val="32"/>
          <w:szCs w:val="32"/>
        </w:rPr>
        <w:t>2019年1月1日新账财务会计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余额，填列2019</w:t>
      </w:r>
      <w:r>
        <w:rPr>
          <w:rFonts w:hint="eastAsia" w:ascii="Times New Roman" w:hAnsi="Times New Roman" w:eastAsia="仿宋_GB2312" w:cs="Times New Roman"/>
          <w:sz w:val="32"/>
          <w:szCs w:val="32"/>
        </w:rPr>
        <w:t>年净资产变动表各项目的“上年年末余额”；根据</w:t>
      </w:r>
      <w:r>
        <w:rPr>
          <w:rFonts w:ascii="Times New Roman" w:hAnsi="Times New Roman" w:eastAsia="仿宋_GB2312" w:cs="Times New Roman"/>
          <w:sz w:val="32"/>
          <w:szCs w:val="32"/>
        </w:rPr>
        <w:t>2019年1月1日新</w:t>
      </w:r>
      <w:r>
        <w:rPr>
          <w:rFonts w:hint="eastAsia" w:ascii="Times New Roman" w:hAnsi="Times New Roman" w:eastAsia="仿宋_GB2312" w:cs="Times New Roman"/>
          <w:sz w:val="32"/>
          <w:szCs w:val="32"/>
        </w:rPr>
        <w:t>账预算会计科目余额，填列</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年预算结转结余变动表的“年初预算结转结余”项目和财政拨款预算收入支出表的“年初财政拨款结转结余”项目。</w:t>
      </w:r>
    </w:p>
    <w:p>
      <w:pPr>
        <w:widowControl/>
        <w:jc w:val="left"/>
        <w:rPr>
          <w:rFonts w:ascii="仿宋" w:hAnsi="仿宋" w:eastAsia="仿宋" w:cs="Times New Roman"/>
          <w:sz w:val="32"/>
          <w:szCs w:val="32"/>
        </w:rPr>
      </w:pPr>
      <w:r>
        <w:rPr>
          <w:rFonts w:ascii="仿宋" w:hAnsi="仿宋" w:eastAsia="仿宋" w:cs="Times New Roman"/>
          <w:sz w:val="32"/>
          <w:szCs w:val="32"/>
        </w:rPr>
        <w:br w:type="page"/>
      </w:r>
      <w:r>
        <w:rPr>
          <w:rFonts w:hint="eastAsia" w:ascii="仿宋" w:hAnsi="仿宋" w:eastAsia="仿宋" w:cs="宋体"/>
          <w:sz w:val="32"/>
          <w:szCs w:val="32"/>
        </w:rPr>
        <w:t>附表1：</w:t>
      </w:r>
    </w:p>
    <w:p>
      <w:pPr>
        <w:ind w:firstLine="420"/>
        <w:jc w:val="center"/>
        <w:rPr>
          <w:rFonts w:ascii="仿宋" w:hAnsi="仿宋" w:eastAsia="仿宋"/>
          <w:b/>
          <w:sz w:val="32"/>
          <w:szCs w:val="32"/>
        </w:rPr>
      </w:pPr>
      <w:r>
        <w:rPr>
          <w:rFonts w:hint="eastAsia" w:ascii="仿宋" w:hAnsi="仿宋" w:eastAsia="仿宋"/>
          <w:b/>
          <w:sz w:val="32"/>
          <w:szCs w:val="32"/>
        </w:rPr>
        <w:t>林场原会计科目余额明细表一</w:t>
      </w:r>
    </w:p>
    <w:tbl>
      <w:tblPr>
        <w:tblStyle w:val="15"/>
        <w:tblW w:w="876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706"/>
        <w:gridCol w:w="771"/>
        <w:gridCol w:w="24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706"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71"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470"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819" w:type="dxa"/>
            <w:vMerge w:val="restart"/>
            <w:vAlign w:val="center"/>
          </w:tcPr>
          <w:p>
            <w:pPr>
              <w:rPr>
                <w:rFonts w:ascii="仿宋" w:hAnsi="仿宋" w:eastAsia="仿宋"/>
                <w:sz w:val="24"/>
                <w:szCs w:val="24"/>
              </w:rPr>
            </w:pPr>
            <w:r>
              <w:rPr>
                <w:rFonts w:hint="eastAsia" w:ascii="仿宋" w:hAnsi="仿宋" w:eastAsia="仿宋"/>
                <w:sz w:val="24"/>
                <w:szCs w:val="24"/>
              </w:rPr>
              <w:t>库存现金、现金</w:t>
            </w:r>
          </w:p>
        </w:tc>
        <w:tc>
          <w:tcPr>
            <w:tcW w:w="3706" w:type="dxa"/>
            <w:vAlign w:val="center"/>
          </w:tcPr>
          <w:p>
            <w:pPr>
              <w:rPr>
                <w:rFonts w:ascii="仿宋" w:hAnsi="仿宋" w:eastAsia="仿宋"/>
                <w:sz w:val="24"/>
                <w:szCs w:val="24"/>
              </w:rPr>
            </w:pPr>
            <w:r>
              <w:rPr>
                <w:rFonts w:hint="eastAsia" w:ascii="仿宋" w:hAnsi="仿宋" w:eastAsia="仿宋"/>
                <w:sz w:val="24"/>
                <w:szCs w:val="24"/>
              </w:rPr>
              <w:t>库存现金</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其中：受托代理现金</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银行存款</w:t>
            </w:r>
          </w:p>
        </w:tc>
        <w:tc>
          <w:tcPr>
            <w:tcW w:w="3706" w:type="dxa"/>
            <w:vAlign w:val="center"/>
          </w:tcPr>
          <w:p>
            <w:pPr>
              <w:rPr>
                <w:rFonts w:ascii="仿宋" w:hAnsi="仿宋" w:eastAsia="仿宋"/>
                <w:sz w:val="24"/>
                <w:szCs w:val="24"/>
              </w:rPr>
            </w:pPr>
            <w:r>
              <w:rPr>
                <w:rFonts w:hint="eastAsia" w:ascii="仿宋" w:hAnsi="仿宋" w:eastAsia="仿宋"/>
                <w:sz w:val="24"/>
                <w:szCs w:val="24"/>
              </w:rPr>
              <w:t>银行存款</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其中：受托代理银行存款</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706" w:type="dxa"/>
            <w:vAlign w:val="center"/>
          </w:tcPr>
          <w:p>
            <w:pPr>
              <w:rPr>
                <w:rFonts w:ascii="仿宋" w:hAnsi="仿宋" w:eastAsia="仿宋"/>
                <w:sz w:val="24"/>
                <w:szCs w:val="24"/>
              </w:rPr>
            </w:pPr>
            <w:r>
              <w:rPr>
                <w:rFonts w:hint="eastAsia" w:ascii="仿宋" w:hAnsi="仿宋" w:eastAsia="仿宋"/>
                <w:sz w:val="24"/>
                <w:szCs w:val="24"/>
              </w:rPr>
              <w:t>应收股利</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819" w:type="dxa"/>
            <w:vMerge w:val="restart"/>
            <w:vAlign w:val="center"/>
          </w:tcPr>
          <w:p>
            <w:pPr>
              <w:rPr>
                <w:rFonts w:ascii="仿宋" w:hAnsi="仿宋" w:eastAsia="仿宋"/>
                <w:sz w:val="24"/>
                <w:szCs w:val="24"/>
              </w:rPr>
            </w:pPr>
            <w:r>
              <w:rPr>
                <w:rFonts w:hint="eastAsia" w:ascii="仿宋" w:hAnsi="仿宋" w:eastAsia="仿宋"/>
                <w:sz w:val="24"/>
                <w:szCs w:val="24"/>
              </w:rPr>
              <w:t>库存物资</w:t>
            </w:r>
          </w:p>
        </w:tc>
        <w:tc>
          <w:tcPr>
            <w:tcW w:w="3706" w:type="dxa"/>
            <w:vAlign w:val="center"/>
          </w:tcPr>
          <w:p>
            <w:pPr>
              <w:rPr>
                <w:rFonts w:ascii="仿宋" w:hAnsi="仿宋" w:eastAsia="仿宋"/>
                <w:sz w:val="24"/>
                <w:szCs w:val="24"/>
              </w:rPr>
            </w:pPr>
            <w:r>
              <w:rPr>
                <w:rFonts w:hint="eastAsia" w:ascii="仿宋" w:hAnsi="仿宋" w:eastAsia="仿宋"/>
                <w:sz w:val="24"/>
                <w:szCs w:val="24"/>
              </w:rPr>
              <w:t>在途物品</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分期收款发出商品</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其他库存物资</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长期投资</w:t>
            </w:r>
          </w:p>
        </w:tc>
        <w:tc>
          <w:tcPr>
            <w:tcW w:w="3706" w:type="dxa"/>
            <w:vAlign w:val="center"/>
          </w:tcPr>
          <w:p>
            <w:pPr>
              <w:rPr>
                <w:rFonts w:ascii="仿宋" w:hAnsi="仿宋" w:eastAsia="仿宋"/>
                <w:sz w:val="24"/>
                <w:szCs w:val="24"/>
              </w:rPr>
            </w:pPr>
            <w:r>
              <w:rPr>
                <w:rFonts w:hint="eastAsia" w:ascii="仿宋" w:hAnsi="仿宋" w:eastAsia="仿宋"/>
                <w:sz w:val="24"/>
                <w:szCs w:val="24"/>
              </w:rPr>
              <w:t>长期股权投资</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长期债券投资</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分期付息的债券投资应收利息</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拨付所属资金</w:t>
            </w:r>
          </w:p>
        </w:tc>
        <w:tc>
          <w:tcPr>
            <w:tcW w:w="3706" w:type="dxa"/>
            <w:vAlign w:val="center"/>
          </w:tcPr>
          <w:p>
            <w:pPr>
              <w:rPr>
                <w:rFonts w:ascii="仿宋" w:hAnsi="仿宋" w:eastAsia="仿宋"/>
                <w:sz w:val="24"/>
                <w:szCs w:val="24"/>
              </w:rPr>
            </w:pPr>
            <w:r>
              <w:rPr>
                <w:rFonts w:hint="eastAsia" w:ascii="仿宋" w:hAnsi="仿宋" w:eastAsia="仿宋"/>
                <w:sz w:val="24"/>
                <w:szCs w:val="24"/>
              </w:rPr>
              <w:t>拨付所属事业单位</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拨付所属企业</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固定资产</w:t>
            </w:r>
          </w:p>
        </w:tc>
        <w:tc>
          <w:tcPr>
            <w:tcW w:w="3706" w:type="dxa"/>
            <w:vAlign w:val="center"/>
          </w:tcPr>
          <w:p>
            <w:pPr>
              <w:rPr>
                <w:rFonts w:ascii="仿宋" w:hAnsi="仿宋" w:eastAsia="仿宋"/>
                <w:sz w:val="24"/>
                <w:szCs w:val="24"/>
              </w:rPr>
            </w:pPr>
            <w:r>
              <w:rPr>
                <w:rFonts w:hint="eastAsia" w:ascii="仿宋" w:hAnsi="仿宋" w:eastAsia="仿宋"/>
                <w:sz w:val="24"/>
                <w:szCs w:val="24"/>
              </w:rPr>
              <w:t>固定资产</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无形资产</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在建工程</w:t>
            </w:r>
          </w:p>
        </w:tc>
        <w:tc>
          <w:tcPr>
            <w:tcW w:w="3706" w:type="dxa"/>
            <w:vAlign w:val="center"/>
          </w:tcPr>
          <w:p>
            <w:pPr>
              <w:rPr>
                <w:rFonts w:ascii="仿宋" w:hAnsi="仿宋" w:eastAsia="仿宋"/>
                <w:sz w:val="24"/>
                <w:szCs w:val="24"/>
              </w:rPr>
            </w:pPr>
            <w:r>
              <w:rPr>
                <w:rFonts w:hint="eastAsia" w:ascii="仿宋" w:hAnsi="仿宋" w:eastAsia="仿宋"/>
                <w:sz w:val="24"/>
                <w:szCs w:val="24"/>
              </w:rPr>
              <w:t>在建工程</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工程物资</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预付工程款、预付备料款</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cs="宋体"/>
                <w:sz w:val="24"/>
                <w:szCs w:val="24"/>
              </w:rPr>
            </w:pPr>
            <w:r>
              <w:rPr>
                <w:rFonts w:hint="eastAsia" w:ascii="仿宋" w:hAnsi="仿宋" w:eastAsia="仿宋" w:cs="宋体"/>
                <w:sz w:val="24"/>
                <w:szCs w:val="24"/>
              </w:rPr>
              <w:t>应交税金</w:t>
            </w:r>
          </w:p>
        </w:tc>
        <w:tc>
          <w:tcPr>
            <w:tcW w:w="3706" w:type="dxa"/>
            <w:vAlign w:val="center"/>
          </w:tcPr>
          <w:p>
            <w:pPr>
              <w:rPr>
                <w:rFonts w:ascii="仿宋" w:hAnsi="仿宋" w:eastAsia="仿宋"/>
                <w:sz w:val="24"/>
                <w:szCs w:val="24"/>
              </w:rPr>
            </w:pPr>
            <w:r>
              <w:rPr>
                <w:rFonts w:hint="eastAsia" w:ascii="仿宋" w:hAnsi="仿宋" w:eastAsia="仿宋"/>
                <w:sz w:val="24"/>
                <w:szCs w:val="24"/>
              </w:rPr>
              <w:t>应交增值税</w:t>
            </w:r>
          </w:p>
        </w:tc>
        <w:tc>
          <w:tcPr>
            <w:tcW w:w="771" w:type="dxa"/>
            <w:vAlign w:val="center"/>
          </w:tcPr>
          <w:p>
            <w:pPr>
              <w:rPr>
                <w:rFonts w:ascii="仿宋" w:hAnsi="仿宋" w:eastAsia="仿宋"/>
                <w:sz w:val="24"/>
                <w:szCs w:val="24"/>
              </w:rPr>
            </w:pPr>
          </w:p>
        </w:tc>
        <w:tc>
          <w:tcPr>
            <w:tcW w:w="2470"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其他应交税金</w:t>
            </w:r>
          </w:p>
        </w:tc>
        <w:tc>
          <w:tcPr>
            <w:tcW w:w="771" w:type="dxa"/>
            <w:vAlign w:val="center"/>
          </w:tcPr>
          <w:p>
            <w:pPr>
              <w:rPr>
                <w:rFonts w:ascii="仿宋" w:hAnsi="仿宋" w:eastAsia="仿宋"/>
                <w:sz w:val="24"/>
                <w:szCs w:val="24"/>
              </w:rPr>
            </w:pPr>
          </w:p>
        </w:tc>
        <w:tc>
          <w:tcPr>
            <w:tcW w:w="2470"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应付账款</w:t>
            </w:r>
          </w:p>
        </w:tc>
        <w:tc>
          <w:tcPr>
            <w:tcW w:w="3706" w:type="dxa"/>
            <w:vAlign w:val="center"/>
          </w:tcPr>
          <w:p>
            <w:pPr>
              <w:rPr>
                <w:rFonts w:ascii="仿宋" w:hAnsi="仿宋" w:eastAsia="仿宋"/>
                <w:sz w:val="24"/>
                <w:szCs w:val="24"/>
              </w:rPr>
            </w:pPr>
            <w:r>
              <w:rPr>
                <w:rFonts w:hint="eastAsia" w:ascii="仿宋" w:hAnsi="仿宋" w:eastAsia="仿宋"/>
                <w:sz w:val="24"/>
                <w:szCs w:val="24"/>
              </w:rPr>
              <w:t>应付账款</w:t>
            </w:r>
          </w:p>
        </w:tc>
        <w:tc>
          <w:tcPr>
            <w:tcW w:w="771" w:type="dxa"/>
            <w:vAlign w:val="center"/>
          </w:tcPr>
          <w:p>
            <w:pPr>
              <w:rPr>
                <w:rFonts w:ascii="仿宋" w:hAnsi="仿宋" w:eastAsia="仿宋"/>
                <w:sz w:val="24"/>
                <w:szCs w:val="24"/>
              </w:rPr>
            </w:pPr>
          </w:p>
        </w:tc>
        <w:tc>
          <w:tcPr>
            <w:tcW w:w="2470"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预收账款</w:t>
            </w:r>
          </w:p>
        </w:tc>
        <w:tc>
          <w:tcPr>
            <w:tcW w:w="771" w:type="dxa"/>
            <w:vAlign w:val="center"/>
          </w:tcPr>
          <w:p>
            <w:pPr>
              <w:rPr>
                <w:rFonts w:ascii="仿宋" w:hAnsi="仿宋" w:eastAsia="仿宋"/>
                <w:sz w:val="24"/>
                <w:szCs w:val="24"/>
              </w:rPr>
            </w:pPr>
          </w:p>
        </w:tc>
        <w:tc>
          <w:tcPr>
            <w:tcW w:w="2470"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其他应付款</w:t>
            </w:r>
          </w:p>
        </w:tc>
        <w:tc>
          <w:tcPr>
            <w:tcW w:w="3706" w:type="dxa"/>
            <w:vAlign w:val="center"/>
          </w:tcPr>
          <w:p>
            <w:pPr>
              <w:rPr>
                <w:rFonts w:ascii="仿宋" w:hAnsi="仿宋" w:eastAsia="仿宋"/>
                <w:sz w:val="24"/>
                <w:szCs w:val="24"/>
              </w:rPr>
            </w:pPr>
            <w:r>
              <w:rPr>
                <w:rFonts w:hint="eastAsia" w:ascii="仿宋" w:hAnsi="仿宋" w:eastAsia="仿宋"/>
                <w:sz w:val="24"/>
                <w:szCs w:val="24"/>
              </w:rPr>
              <w:t>受托代理负债</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r>
              <w:rPr>
                <w:rFonts w:hint="eastAsia" w:ascii="仿宋" w:hAnsi="仿宋" w:eastAsia="仿宋"/>
                <w:sz w:val="24"/>
                <w:szCs w:val="24"/>
              </w:rPr>
              <w:t>代管款项等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应付社会统筹工资</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其他应交款</w:t>
            </w:r>
          </w:p>
        </w:tc>
        <w:tc>
          <w:tcPr>
            <w:tcW w:w="3706" w:type="dxa"/>
            <w:vAlign w:val="center"/>
          </w:tcPr>
          <w:p>
            <w:pPr>
              <w:rPr>
                <w:rFonts w:ascii="仿宋" w:hAnsi="仿宋" w:eastAsia="仿宋"/>
                <w:sz w:val="24"/>
                <w:szCs w:val="24"/>
              </w:rPr>
            </w:pPr>
            <w:r>
              <w:rPr>
                <w:rFonts w:hint="eastAsia" w:ascii="仿宋" w:hAnsi="仿宋" w:eastAsia="仿宋"/>
                <w:sz w:val="24"/>
                <w:szCs w:val="24"/>
              </w:rPr>
              <w:t>应缴财政款</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应缴政府性收费</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长期借款</w:t>
            </w:r>
          </w:p>
        </w:tc>
        <w:tc>
          <w:tcPr>
            <w:tcW w:w="3706" w:type="dxa"/>
            <w:vAlign w:val="center"/>
          </w:tcPr>
          <w:p>
            <w:pPr>
              <w:rPr>
                <w:rFonts w:ascii="仿宋" w:hAnsi="仿宋" w:eastAsia="仿宋"/>
                <w:sz w:val="24"/>
                <w:szCs w:val="24"/>
              </w:rPr>
            </w:pPr>
            <w:r>
              <w:rPr>
                <w:rFonts w:hint="eastAsia" w:ascii="仿宋" w:hAnsi="仿宋" w:eastAsia="仿宋"/>
                <w:sz w:val="24"/>
                <w:szCs w:val="24"/>
              </w:rPr>
              <w:t>分期付息的应付利息</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restart"/>
            <w:vAlign w:val="center"/>
          </w:tcPr>
          <w:p>
            <w:pPr>
              <w:rPr>
                <w:rFonts w:ascii="仿宋" w:hAnsi="仿宋" w:eastAsia="仿宋"/>
                <w:sz w:val="24"/>
                <w:szCs w:val="24"/>
              </w:rPr>
            </w:pPr>
            <w:r>
              <w:rPr>
                <w:rFonts w:hint="eastAsia" w:ascii="仿宋" w:hAnsi="仿宋" w:eastAsia="仿宋"/>
                <w:sz w:val="24"/>
                <w:szCs w:val="24"/>
              </w:rPr>
              <w:t>长期应付款</w:t>
            </w:r>
          </w:p>
        </w:tc>
        <w:tc>
          <w:tcPr>
            <w:tcW w:w="3706" w:type="dxa"/>
            <w:vAlign w:val="center"/>
          </w:tcPr>
          <w:p>
            <w:pPr>
              <w:rPr>
                <w:rFonts w:ascii="仿宋" w:hAnsi="仿宋" w:eastAsia="仿宋"/>
                <w:sz w:val="24"/>
                <w:szCs w:val="24"/>
              </w:rPr>
            </w:pPr>
            <w:r>
              <w:rPr>
                <w:rFonts w:hint="eastAsia" w:ascii="仿宋" w:hAnsi="仿宋" w:eastAsia="仿宋"/>
                <w:sz w:val="24"/>
                <w:szCs w:val="24"/>
              </w:rPr>
              <w:t>住房周转金</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19" w:type="dxa"/>
            <w:vMerge w:val="continue"/>
            <w:vAlign w:val="center"/>
          </w:tcPr>
          <w:p>
            <w:pPr>
              <w:rPr>
                <w:rFonts w:ascii="仿宋" w:hAnsi="仿宋" w:eastAsia="仿宋"/>
                <w:sz w:val="24"/>
                <w:szCs w:val="24"/>
              </w:rPr>
            </w:pPr>
          </w:p>
        </w:tc>
        <w:tc>
          <w:tcPr>
            <w:tcW w:w="3706" w:type="dxa"/>
            <w:vAlign w:val="center"/>
          </w:tcPr>
          <w:p>
            <w:pPr>
              <w:rPr>
                <w:rFonts w:ascii="仿宋" w:hAnsi="仿宋" w:eastAsia="仿宋"/>
                <w:sz w:val="24"/>
                <w:szCs w:val="24"/>
              </w:rPr>
            </w:pPr>
            <w:r>
              <w:rPr>
                <w:rFonts w:hint="eastAsia" w:ascii="仿宋" w:hAnsi="仿宋" w:eastAsia="仿宋"/>
                <w:sz w:val="24"/>
                <w:szCs w:val="24"/>
              </w:rPr>
              <w:t>其他</w:t>
            </w:r>
          </w:p>
        </w:tc>
        <w:tc>
          <w:tcPr>
            <w:tcW w:w="771" w:type="dxa"/>
            <w:vAlign w:val="center"/>
          </w:tcPr>
          <w:p>
            <w:pPr>
              <w:rPr>
                <w:rFonts w:ascii="仿宋" w:hAnsi="仿宋" w:eastAsia="仿宋"/>
                <w:sz w:val="24"/>
                <w:szCs w:val="24"/>
              </w:rPr>
            </w:pPr>
          </w:p>
        </w:tc>
        <w:tc>
          <w:tcPr>
            <w:tcW w:w="2470" w:type="dxa"/>
          </w:tcPr>
          <w:p>
            <w:pPr>
              <w:rPr>
                <w:rFonts w:ascii="仿宋" w:hAnsi="仿宋" w:eastAsia="仿宋"/>
                <w:sz w:val="24"/>
                <w:szCs w:val="24"/>
              </w:rPr>
            </w:pPr>
          </w:p>
        </w:tc>
      </w:tr>
    </w:tbl>
    <w:p>
      <w:pPr>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widowControl/>
        <w:jc w:val="left"/>
        <w:rPr>
          <w:rFonts w:ascii="仿宋" w:hAnsi="仿宋" w:eastAsia="仿宋" w:cs="Times New Roman"/>
          <w:sz w:val="32"/>
          <w:szCs w:val="32"/>
        </w:rPr>
      </w:pPr>
      <w:r>
        <w:rPr>
          <w:rFonts w:hint="eastAsia" w:ascii="仿宋" w:hAnsi="仿宋" w:eastAsia="仿宋" w:cs="宋体"/>
          <w:sz w:val="32"/>
          <w:szCs w:val="32"/>
        </w:rPr>
        <w:t>附表2：</w:t>
      </w:r>
    </w:p>
    <w:p>
      <w:pPr>
        <w:ind w:firstLine="420"/>
        <w:jc w:val="center"/>
        <w:rPr>
          <w:rFonts w:ascii="仿宋" w:hAnsi="仿宋" w:eastAsia="仿宋"/>
          <w:b/>
          <w:sz w:val="32"/>
          <w:szCs w:val="32"/>
        </w:rPr>
      </w:pPr>
      <w:r>
        <w:rPr>
          <w:rFonts w:hint="eastAsia" w:ascii="仿宋" w:hAnsi="仿宋" w:eastAsia="仿宋"/>
          <w:b/>
          <w:sz w:val="32"/>
          <w:szCs w:val="32"/>
        </w:rPr>
        <w:t>林场原会计科目余额明细表二</w:t>
      </w:r>
    </w:p>
    <w:p>
      <w:pPr>
        <w:widowControl/>
        <w:jc w:val="left"/>
        <w:rPr>
          <w:rFonts w:ascii="仿宋" w:hAnsi="仿宋" w:eastAsia="仿宋" w:cs="宋体"/>
          <w:sz w:val="32"/>
          <w:szCs w:val="32"/>
        </w:rPr>
      </w:pPr>
    </w:p>
    <w:tbl>
      <w:tblPr>
        <w:tblStyle w:val="15"/>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402"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应收票据、应收账款</w:t>
            </w:r>
          </w:p>
        </w:tc>
        <w:tc>
          <w:tcPr>
            <w:tcW w:w="3402" w:type="dxa"/>
            <w:vAlign w:val="center"/>
          </w:tcPr>
          <w:p>
            <w:pPr>
              <w:rPr>
                <w:rFonts w:ascii="仿宋" w:hAnsi="仿宋" w:eastAsia="仿宋" w:cs="宋体"/>
                <w:sz w:val="24"/>
                <w:szCs w:val="24"/>
              </w:rPr>
            </w:pPr>
            <w:r>
              <w:rPr>
                <w:rFonts w:hint="eastAsia" w:ascii="仿宋" w:hAnsi="仿宋" w:eastAsia="仿宋" w:cs="宋体"/>
                <w:sz w:val="24"/>
                <w:szCs w:val="24"/>
              </w:rPr>
              <w:t>发生时不计入收入</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如转让资产的应收票据、应收账款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402" w:type="dxa"/>
            <w:vAlign w:val="center"/>
          </w:tcPr>
          <w:p>
            <w:pPr>
              <w:rPr>
                <w:rFonts w:ascii="仿宋" w:hAnsi="仿宋" w:eastAsia="仿宋" w:cs="宋体"/>
                <w:sz w:val="24"/>
                <w:szCs w:val="24"/>
              </w:rPr>
            </w:pPr>
            <w:r>
              <w:rPr>
                <w:rFonts w:hint="eastAsia" w:ascii="仿宋" w:hAnsi="仿宋" w:eastAsia="仿宋" w:cs="宋体"/>
                <w:sz w:val="24"/>
                <w:szCs w:val="24"/>
              </w:rPr>
              <w:t>发生时计入收入</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402" w:type="dxa"/>
            <w:vAlign w:val="center"/>
          </w:tcPr>
          <w:p>
            <w:pPr>
              <w:rPr>
                <w:rFonts w:ascii="仿宋" w:hAnsi="仿宋" w:eastAsia="仿宋" w:cs="宋体"/>
                <w:sz w:val="24"/>
                <w:szCs w:val="24"/>
              </w:rPr>
            </w:pPr>
            <w:r>
              <w:rPr>
                <w:rFonts w:hint="eastAsia" w:ascii="仿宋" w:hAnsi="仿宋" w:eastAsia="仿宋" w:cs="宋体"/>
                <w:sz w:val="24"/>
                <w:szCs w:val="24"/>
              </w:rPr>
              <w:t>其中：专项收入</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402" w:type="dxa"/>
            <w:vAlign w:val="center"/>
          </w:tcPr>
          <w:p>
            <w:pPr>
              <w:rPr>
                <w:rFonts w:ascii="仿宋" w:hAnsi="仿宋" w:eastAsia="仿宋" w:cs="宋体"/>
                <w:sz w:val="24"/>
                <w:szCs w:val="24"/>
              </w:rPr>
            </w:pPr>
            <w:r>
              <w:rPr>
                <w:rFonts w:hint="eastAsia" w:ascii="仿宋" w:hAnsi="仿宋" w:eastAsia="仿宋" w:cs="宋体"/>
                <w:sz w:val="24"/>
                <w:szCs w:val="24"/>
              </w:rPr>
              <w:t xml:space="preserve">      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预付账款</w:t>
            </w:r>
          </w:p>
        </w:tc>
        <w:tc>
          <w:tcPr>
            <w:tcW w:w="3402" w:type="dxa"/>
            <w:vAlign w:val="center"/>
          </w:tcPr>
          <w:p>
            <w:pPr>
              <w:rPr>
                <w:rFonts w:ascii="仿宋" w:hAnsi="仿宋" w:eastAsia="仿宋"/>
                <w:sz w:val="24"/>
                <w:szCs w:val="24"/>
              </w:rPr>
            </w:pPr>
            <w:r>
              <w:rPr>
                <w:rFonts w:hint="eastAsia" w:ascii="仿宋" w:hAnsi="仿宋" w:eastAsia="仿宋"/>
                <w:sz w:val="24"/>
                <w:szCs w:val="24"/>
              </w:rPr>
              <w:t>财政补助资金预付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非财政补助专项资金预付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非财政补助非专项资金预付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402" w:type="dxa"/>
            <w:vAlign w:val="center"/>
          </w:tcPr>
          <w:p>
            <w:pPr>
              <w:rPr>
                <w:rFonts w:ascii="仿宋" w:hAnsi="仿宋" w:eastAsia="仿宋"/>
                <w:sz w:val="24"/>
                <w:szCs w:val="24"/>
              </w:rPr>
            </w:pPr>
            <w:r>
              <w:rPr>
                <w:rFonts w:hint="eastAsia" w:ascii="仿宋" w:hAnsi="仿宋" w:eastAsia="仿宋"/>
                <w:sz w:val="24"/>
                <w:szCs w:val="24"/>
              </w:rPr>
              <w:t>预付款项</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其中：财政补助资金预付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 xml:space="preserve">      非财政补助专项资金预付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 xml:space="preserve">      非财政补助非专项资金预付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需要收回及其他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库存物资、苗木资产、林木资产、生产成本</w:t>
            </w:r>
          </w:p>
        </w:tc>
        <w:tc>
          <w:tcPr>
            <w:tcW w:w="3402" w:type="dxa"/>
            <w:vAlign w:val="center"/>
          </w:tcPr>
          <w:p>
            <w:pPr>
              <w:rPr>
                <w:rFonts w:ascii="仿宋" w:hAnsi="仿宋" w:eastAsia="仿宋"/>
                <w:sz w:val="24"/>
                <w:szCs w:val="24"/>
              </w:rPr>
            </w:pPr>
            <w:r>
              <w:rPr>
                <w:rFonts w:hint="eastAsia" w:ascii="仿宋" w:hAnsi="仿宋" w:eastAsia="仿宋"/>
                <w:sz w:val="24"/>
                <w:szCs w:val="24"/>
              </w:rPr>
              <w:t>支付资金：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 xml:space="preserve">其中：使用财政补助资金支付     </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使用非财政补助专项资金支付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使用非财政补助非专项支付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非支付资金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如无偿调入的库存物资等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长期投资</w:t>
            </w:r>
          </w:p>
        </w:tc>
        <w:tc>
          <w:tcPr>
            <w:tcW w:w="3402" w:type="dxa"/>
            <w:vAlign w:val="center"/>
          </w:tcPr>
          <w:p>
            <w:pPr>
              <w:rPr>
                <w:rFonts w:ascii="仿宋" w:hAnsi="仿宋" w:eastAsia="仿宋"/>
                <w:sz w:val="24"/>
                <w:szCs w:val="24"/>
              </w:rPr>
            </w:pPr>
            <w:r>
              <w:rPr>
                <w:rFonts w:hint="eastAsia" w:ascii="仿宋" w:hAnsi="仿宋" w:eastAsia="仿宋"/>
                <w:sz w:val="24"/>
                <w:szCs w:val="24"/>
              </w:rPr>
              <w:t>长期股权投资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其中：用现金资产取得</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 xml:space="preserve">      用非现金资产或其他方式取得</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长期债券投资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固定资产净值、无形资产净值</w:t>
            </w:r>
          </w:p>
        </w:tc>
        <w:tc>
          <w:tcPr>
            <w:tcW w:w="3402" w:type="dxa"/>
            <w:vAlign w:val="center"/>
          </w:tcPr>
          <w:p>
            <w:pPr>
              <w:rPr>
                <w:rFonts w:ascii="仿宋" w:hAnsi="仿宋" w:eastAsia="仿宋"/>
                <w:sz w:val="24"/>
                <w:szCs w:val="24"/>
              </w:rPr>
            </w:pPr>
            <w:r>
              <w:rPr>
                <w:rFonts w:hint="eastAsia" w:ascii="仿宋" w:hAnsi="仿宋" w:eastAsia="仿宋"/>
                <w:sz w:val="24"/>
                <w:szCs w:val="24"/>
              </w:rPr>
              <w:t>支付资金取得</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其中：使用财政补助资金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使用非财政补助专项资金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使用非财政补助非专项资金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非支付资金取得</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如换入、无偿调入的固定资产等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在建工程</w:t>
            </w:r>
          </w:p>
        </w:tc>
        <w:tc>
          <w:tcPr>
            <w:tcW w:w="3402" w:type="dxa"/>
            <w:vAlign w:val="center"/>
          </w:tcPr>
          <w:p>
            <w:pPr>
              <w:rPr>
                <w:rFonts w:ascii="仿宋" w:hAnsi="仿宋" w:eastAsia="仿宋"/>
                <w:sz w:val="24"/>
                <w:szCs w:val="24"/>
              </w:rPr>
            </w:pPr>
            <w:r>
              <w:rPr>
                <w:rFonts w:hint="eastAsia" w:ascii="仿宋" w:hAnsi="仿宋" w:eastAsia="仿宋"/>
                <w:sz w:val="24"/>
                <w:szCs w:val="24"/>
              </w:rPr>
              <w:t>使用财政补助资金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使用非财政补助专项资金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使用非财政补助非专项资金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应付票据、应付账款</w:t>
            </w:r>
          </w:p>
        </w:tc>
        <w:tc>
          <w:tcPr>
            <w:tcW w:w="3402" w:type="dxa"/>
            <w:vAlign w:val="center"/>
          </w:tcPr>
          <w:p>
            <w:pPr>
              <w:rPr>
                <w:rFonts w:ascii="仿宋" w:hAnsi="仿宋" w:eastAsia="仿宋"/>
                <w:sz w:val="24"/>
                <w:szCs w:val="24"/>
              </w:rPr>
            </w:pPr>
            <w:r>
              <w:rPr>
                <w:rFonts w:hint="eastAsia" w:ascii="仿宋" w:hAnsi="仿宋" w:eastAsia="仿宋"/>
                <w:sz w:val="24"/>
                <w:szCs w:val="24"/>
              </w:rPr>
              <w:t>发生时不记入支出</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发生时记入支出</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其中：财政拨款资金应付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ind w:firstLine="720" w:firstLineChars="300"/>
              <w:rPr>
                <w:rFonts w:ascii="仿宋" w:hAnsi="仿宋" w:eastAsia="仿宋"/>
                <w:sz w:val="24"/>
                <w:szCs w:val="24"/>
              </w:rPr>
            </w:pPr>
            <w:r>
              <w:rPr>
                <w:rFonts w:hint="eastAsia" w:ascii="仿宋" w:hAnsi="仿宋" w:eastAsia="仿宋"/>
                <w:sz w:val="24"/>
                <w:szCs w:val="24"/>
              </w:rPr>
              <w:t>非财政拨款专项资金应付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ind w:firstLine="720" w:firstLineChars="300"/>
              <w:rPr>
                <w:rFonts w:ascii="仿宋" w:hAnsi="仿宋" w:eastAsia="仿宋"/>
                <w:sz w:val="24"/>
                <w:szCs w:val="24"/>
              </w:rPr>
            </w:pPr>
            <w:r>
              <w:rPr>
                <w:rFonts w:hint="eastAsia" w:ascii="仿宋" w:hAnsi="仿宋" w:eastAsia="仿宋"/>
                <w:sz w:val="24"/>
                <w:szCs w:val="24"/>
              </w:rPr>
              <w:t>非财政拨款非专项资金应付</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 xml:space="preserve">预收账款 </w:t>
            </w:r>
          </w:p>
        </w:tc>
        <w:tc>
          <w:tcPr>
            <w:tcW w:w="3402" w:type="dxa"/>
            <w:vAlign w:val="center"/>
          </w:tcPr>
          <w:p>
            <w:pPr>
              <w:rPr>
                <w:rFonts w:ascii="仿宋" w:hAnsi="仿宋" w:eastAsia="仿宋"/>
                <w:sz w:val="24"/>
                <w:szCs w:val="24"/>
              </w:rPr>
            </w:pPr>
            <w:r>
              <w:rPr>
                <w:rFonts w:hint="eastAsia" w:ascii="仿宋" w:hAnsi="仿宋" w:eastAsia="仿宋"/>
                <w:sz w:val="24"/>
                <w:szCs w:val="24"/>
              </w:rPr>
              <w:t>预收专项资金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预收非专项资金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拨入事业费</w:t>
            </w:r>
          </w:p>
        </w:tc>
        <w:tc>
          <w:tcPr>
            <w:tcW w:w="3402" w:type="dxa"/>
            <w:vAlign w:val="center"/>
          </w:tcPr>
          <w:p>
            <w:pPr>
              <w:rPr>
                <w:rFonts w:ascii="仿宋" w:hAnsi="仿宋" w:eastAsia="仿宋"/>
                <w:sz w:val="24"/>
                <w:szCs w:val="24"/>
              </w:rPr>
            </w:pPr>
            <w:r>
              <w:rPr>
                <w:rFonts w:hint="eastAsia" w:ascii="仿宋" w:hAnsi="仿宋" w:eastAsia="仿宋"/>
                <w:sz w:val="24"/>
                <w:szCs w:val="24"/>
              </w:rPr>
              <w:t>拨入本级财政资金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其中：财政补助结转资金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 xml:space="preserve">      财政补助结余资金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拨入其他资金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bl>
    <w:p>
      <w:pPr>
        <w:widowControl/>
        <w:jc w:val="left"/>
        <w:rPr>
          <w:rFonts w:ascii="仿宋" w:hAnsi="仿宋" w:eastAsia="仿宋" w:cs="宋体"/>
          <w:sz w:val="32"/>
          <w:szCs w:val="32"/>
        </w:rPr>
      </w:pPr>
    </w:p>
    <w:p>
      <w:pPr>
        <w:widowControl/>
        <w:jc w:val="left"/>
        <w:rPr>
          <w:rFonts w:ascii="仿宋" w:hAnsi="仿宋" w:eastAsia="仿宋" w:cs="宋体"/>
          <w:sz w:val="32"/>
          <w:szCs w:val="32"/>
        </w:rPr>
      </w:pPr>
      <w:r>
        <w:rPr>
          <w:rFonts w:ascii="仿宋" w:hAnsi="仿宋" w:eastAsia="仿宋" w:cs="宋体"/>
          <w:sz w:val="32"/>
          <w:szCs w:val="32"/>
        </w:rPr>
        <w:br w:type="page"/>
      </w:r>
    </w:p>
    <w:p>
      <w:pPr>
        <w:jc w:val="left"/>
        <w:rPr>
          <w:rFonts w:ascii="仿宋" w:hAnsi="仿宋" w:eastAsia="仿宋" w:cs="Times New Roman"/>
          <w:sz w:val="32"/>
          <w:szCs w:val="32"/>
        </w:rPr>
      </w:pPr>
      <w:r>
        <w:rPr>
          <w:rFonts w:hint="eastAsia" w:ascii="仿宋" w:hAnsi="仿宋" w:eastAsia="仿宋" w:cs="宋体"/>
          <w:sz w:val="32"/>
          <w:szCs w:val="32"/>
        </w:rPr>
        <w:t>附表3：</w:t>
      </w:r>
    </w:p>
    <w:p>
      <w:pPr>
        <w:jc w:val="center"/>
        <w:rPr>
          <w:rFonts w:ascii="仿宋" w:hAnsi="仿宋" w:eastAsia="仿宋" w:cs="宋体"/>
          <w:b/>
          <w:bCs/>
          <w:sz w:val="32"/>
          <w:szCs w:val="32"/>
        </w:rPr>
      </w:pPr>
      <w:r>
        <w:rPr>
          <w:rFonts w:hint="eastAsia" w:ascii="仿宋" w:hAnsi="仿宋" w:eastAsia="仿宋" w:cs="宋体"/>
          <w:b/>
          <w:bCs/>
          <w:sz w:val="32"/>
          <w:szCs w:val="32"/>
        </w:rPr>
        <w:t>林场新旧会计制度转账、登记新账科目对照表</w:t>
      </w:r>
    </w:p>
    <w:tbl>
      <w:tblPr>
        <w:tblStyle w:val="14"/>
        <w:tblW w:w="876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10"/>
        <w:gridCol w:w="2575"/>
        <w:gridCol w:w="1235"/>
        <w:gridCol w:w="32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Merge w:val="restart"/>
            <w:vAlign w:val="center"/>
          </w:tcPr>
          <w:p>
            <w:pPr>
              <w:jc w:val="center"/>
              <w:rPr>
                <w:rFonts w:ascii="仿宋" w:hAnsi="仿宋" w:eastAsia="仿宋" w:cs="Times New Roman"/>
                <w:sz w:val="28"/>
                <w:szCs w:val="28"/>
              </w:rPr>
            </w:pPr>
            <w:r>
              <w:rPr>
                <w:rFonts w:hint="eastAsia" w:ascii="仿宋" w:hAnsi="仿宋" w:eastAsia="仿宋" w:cs="宋体"/>
                <w:sz w:val="28"/>
                <w:szCs w:val="28"/>
              </w:rPr>
              <w:t>序号</w:t>
            </w:r>
          </w:p>
        </w:tc>
        <w:tc>
          <w:tcPr>
            <w:tcW w:w="3385" w:type="dxa"/>
            <w:gridSpan w:val="2"/>
            <w:vAlign w:val="center"/>
          </w:tcPr>
          <w:p>
            <w:pPr>
              <w:ind w:left="-1890" w:leftChars="-900" w:firstLine="2242" w:firstLineChars="801"/>
              <w:jc w:val="center"/>
              <w:rPr>
                <w:rFonts w:ascii="仿宋" w:hAnsi="仿宋" w:eastAsia="仿宋" w:cs="Times New Roman"/>
                <w:sz w:val="28"/>
                <w:szCs w:val="28"/>
              </w:rPr>
            </w:pPr>
            <w:r>
              <w:rPr>
                <w:rFonts w:hint="eastAsia" w:ascii="仿宋" w:hAnsi="仿宋" w:eastAsia="仿宋" w:cs="宋体"/>
                <w:sz w:val="28"/>
                <w:szCs w:val="28"/>
              </w:rPr>
              <w:t>新制度科目</w:t>
            </w:r>
          </w:p>
        </w:tc>
        <w:tc>
          <w:tcPr>
            <w:tcW w:w="4506" w:type="dxa"/>
            <w:gridSpan w:val="2"/>
            <w:vAlign w:val="center"/>
          </w:tcPr>
          <w:p>
            <w:pPr>
              <w:jc w:val="center"/>
              <w:rPr>
                <w:rFonts w:ascii="仿宋" w:hAnsi="仿宋" w:eastAsia="仿宋" w:cs="Times New Roman"/>
                <w:sz w:val="28"/>
                <w:szCs w:val="28"/>
              </w:rPr>
            </w:pPr>
            <w:r>
              <w:rPr>
                <w:rFonts w:hint="eastAsia" w:ascii="仿宋" w:hAnsi="仿宋" w:eastAsia="仿宋" w:cs="宋体"/>
                <w:sz w:val="28"/>
                <w:szCs w:val="28"/>
              </w:rPr>
              <w:t>原制度科目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Merge w:val="continue"/>
          </w:tcPr>
          <w:p>
            <w:pPr>
              <w:rPr>
                <w:rFonts w:ascii="仿宋" w:hAnsi="仿宋" w:eastAsia="仿宋" w:cs="Times New Roman"/>
                <w:sz w:val="28"/>
                <w:szCs w:val="28"/>
              </w:rPr>
            </w:pPr>
          </w:p>
        </w:tc>
        <w:tc>
          <w:tcPr>
            <w:tcW w:w="810"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2575"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c>
          <w:tcPr>
            <w:tcW w:w="1235"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3271"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Times New Roman"/>
                <w:sz w:val="28"/>
                <w:szCs w:val="28"/>
              </w:rPr>
            </w:pPr>
            <w:r>
              <w:rPr>
                <w:rFonts w:hint="eastAsia" w:ascii="仿宋" w:hAnsi="仿宋" w:eastAsia="仿宋" w:cs="宋体"/>
                <w:sz w:val="28"/>
                <w:szCs w:val="28"/>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810" w:type="dxa"/>
          </w:tcPr>
          <w:p>
            <w:pPr>
              <w:rPr>
                <w:rFonts w:ascii="仿宋" w:hAnsi="仿宋" w:eastAsia="仿宋" w:cs="宋体"/>
                <w:sz w:val="28"/>
                <w:szCs w:val="28"/>
              </w:rPr>
            </w:pPr>
            <w:r>
              <w:rPr>
                <w:rFonts w:ascii="仿宋" w:hAnsi="仿宋" w:eastAsia="仿宋" w:cs="宋体"/>
                <w:sz w:val="28"/>
                <w:szCs w:val="28"/>
              </w:rPr>
              <w:t>1001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库存现金</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101</w:t>
            </w:r>
          </w:p>
        </w:tc>
        <w:tc>
          <w:tcPr>
            <w:tcW w:w="3271" w:type="dxa"/>
            <w:vAlign w:val="center"/>
          </w:tcPr>
          <w:p>
            <w:pPr>
              <w:pStyle w:val="8"/>
              <w:rPr>
                <w:rFonts w:ascii="仿宋" w:hAnsi="仿宋" w:eastAsia="仿宋"/>
                <w:sz w:val="28"/>
                <w:szCs w:val="28"/>
              </w:rPr>
            </w:pPr>
            <w:r>
              <w:rPr>
                <w:rFonts w:ascii="仿宋" w:hAnsi="仿宋" w:eastAsia="仿宋"/>
                <w:sz w:val="28"/>
                <w:szCs w:val="28"/>
              </w:rPr>
              <w:t>现金</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c>
          <w:tcPr>
            <w:tcW w:w="810" w:type="dxa"/>
          </w:tcPr>
          <w:p>
            <w:pPr>
              <w:rPr>
                <w:rFonts w:ascii="仿宋" w:hAnsi="仿宋" w:eastAsia="仿宋" w:cs="宋体"/>
                <w:sz w:val="28"/>
                <w:szCs w:val="28"/>
              </w:rPr>
            </w:pPr>
            <w:r>
              <w:rPr>
                <w:rFonts w:ascii="仿宋" w:hAnsi="仿宋" w:eastAsia="仿宋" w:cs="宋体"/>
                <w:sz w:val="28"/>
                <w:szCs w:val="28"/>
              </w:rPr>
              <w:t>1001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库存现金</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10</w:t>
            </w:r>
            <w:r>
              <w:rPr>
                <w:rFonts w:hint="eastAsia" w:ascii="仿宋" w:hAnsi="仿宋" w:eastAsia="仿宋"/>
                <w:sz w:val="28"/>
                <w:szCs w:val="28"/>
              </w:rPr>
              <w:t>0</w:t>
            </w:r>
            <w:r>
              <w:rPr>
                <w:rFonts w:ascii="仿宋" w:hAnsi="仿宋" w:eastAsia="仿宋"/>
                <w:sz w:val="28"/>
                <w:szCs w:val="28"/>
              </w:rPr>
              <w:t>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库存</w:t>
            </w:r>
            <w:r>
              <w:rPr>
                <w:rFonts w:ascii="仿宋" w:hAnsi="仿宋" w:eastAsia="仿宋"/>
                <w:sz w:val="28"/>
                <w:szCs w:val="28"/>
              </w:rPr>
              <w:t>现金</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810" w:type="dxa"/>
          </w:tcPr>
          <w:p>
            <w:pPr>
              <w:rPr>
                <w:rFonts w:ascii="仿宋" w:hAnsi="仿宋" w:eastAsia="仿宋" w:cs="宋体"/>
                <w:sz w:val="28"/>
                <w:szCs w:val="28"/>
              </w:rPr>
            </w:pPr>
            <w:r>
              <w:rPr>
                <w:rFonts w:ascii="仿宋" w:hAnsi="仿宋" w:eastAsia="仿宋" w:cs="宋体"/>
                <w:sz w:val="28"/>
                <w:szCs w:val="28"/>
              </w:rPr>
              <w:t>1002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银行存款</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10</w:t>
            </w:r>
            <w:r>
              <w:rPr>
                <w:rFonts w:hint="eastAsia" w:ascii="仿宋" w:hAnsi="仿宋" w:eastAsia="仿宋"/>
                <w:sz w:val="28"/>
                <w:szCs w:val="28"/>
              </w:rPr>
              <w:t>0</w:t>
            </w:r>
            <w:r>
              <w:rPr>
                <w:rFonts w:ascii="仿宋" w:hAnsi="仿宋" w:eastAsia="仿宋"/>
                <w:sz w:val="28"/>
                <w:szCs w:val="28"/>
              </w:rPr>
              <w:t>2</w:t>
            </w:r>
          </w:p>
        </w:tc>
        <w:tc>
          <w:tcPr>
            <w:tcW w:w="3271" w:type="dxa"/>
            <w:vAlign w:val="center"/>
          </w:tcPr>
          <w:p>
            <w:pPr>
              <w:pStyle w:val="8"/>
              <w:rPr>
                <w:rFonts w:ascii="仿宋" w:hAnsi="仿宋" w:eastAsia="仿宋"/>
                <w:sz w:val="28"/>
                <w:szCs w:val="28"/>
              </w:rPr>
            </w:pPr>
            <w:r>
              <w:rPr>
                <w:rFonts w:ascii="仿宋" w:hAnsi="仿宋" w:eastAsia="仿宋"/>
                <w:sz w:val="28"/>
                <w:szCs w:val="28"/>
              </w:rPr>
              <w:t>银行存款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4</w:t>
            </w:r>
          </w:p>
        </w:tc>
        <w:tc>
          <w:tcPr>
            <w:tcW w:w="810" w:type="dxa"/>
          </w:tcPr>
          <w:p>
            <w:pPr>
              <w:rPr>
                <w:rFonts w:ascii="仿宋" w:hAnsi="仿宋" w:eastAsia="仿宋" w:cs="宋体"/>
                <w:sz w:val="28"/>
                <w:szCs w:val="28"/>
              </w:rPr>
            </w:pPr>
            <w:r>
              <w:rPr>
                <w:rFonts w:hint="eastAsia" w:ascii="仿宋" w:hAnsi="仿宋" w:eastAsia="仿宋" w:cs="宋体"/>
                <w:sz w:val="28"/>
                <w:szCs w:val="28"/>
              </w:rPr>
              <w:t>1021</w:t>
            </w:r>
          </w:p>
        </w:tc>
        <w:tc>
          <w:tcPr>
            <w:tcW w:w="2575" w:type="dxa"/>
          </w:tcPr>
          <w:p>
            <w:pPr>
              <w:rPr>
                <w:rFonts w:ascii="仿宋" w:hAnsi="仿宋" w:eastAsia="仿宋" w:cs="宋体"/>
                <w:sz w:val="28"/>
                <w:szCs w:val="28"/>
              </w:rPr>
            </w:pPr>
            <w:r>
              <w:rPr>
                <w:rFonts w:hint="eastAsia" w:ascii="仿宋" w:hAnsi="仿宋" w:eastAsia="仿宋" w:cs="宋体"/>
                <w:sz w:val="28"/>
                <w:szCs w:val="28"/>
              </w:rPr>
              <w:t>其他货币资金</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10</w:t>
            </w:r>
            <w:r>
              <w:rPr>
                <w:rFonts w:hint="eastAsia" w:ascii="仿宋" w:hAnsi="仿宋" w:eastAsia="仿宋"/>
                <w:sz w:val="28"/>
                <w:szCs w:val="28"/>
              </w:rPr>
              <w:t>04</w:t>
            </w:r>
          </w:p>
        </w:tc>
        <w:tc>
          <w:tcPr>
            <w:tcW w:w="3271" w:type="dxa"/>
            <w:vAlign w:val="center"/>
          </w:tcPr>
          <w:p>
            <w:pPr>
              <w:pStyle w:val="8"/>
              <w:rPr>
                <w:rFonts w:ascii="仿宋" w:hAnsi="仿宋" w:eastAsia="仿宋"/>
                <w:sz w:val="28"/>
                <w:szCs w:val="28"/>
              </w:rPr>
            </w:pPr>
            <w:r>
              <w:rPr>
                <w:rFonts w:ascii="仿宋" w:hAnsi="仿宋" w:eastAsia="仿宋"/>
                <w:sz w:val="28"/>
                <w:szCs w:val="28"/>
              </w:rPr>
              <w:t>其他货币资金</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c>
          <w:tcPr>
            <w:tcW w:w="810" w:type="dxa"/>
          </w:tcPr>
          <w:p>
            <w:pPr>
              <w:rPr>
                <w:rFonts w:ascii="仿宋" w:hAnsi="仿宋" w:eastAsia="仿宋" w:cs="宋体"/>
                <w:sz w:val="28"/>
                <w:szCs w:val="28"/>
              </w:rPr>
            </w:pPr>
            <w:r>
              <w:rPr>
                <w:rFonts w:hint="eastAsia" w:ascii="仿宋" w:hAnsi="仿宋" w:eastAsia="仿宋" w:cs="宋体"/>
                <w:sz w:val="28"/>
                <w:szCs w:val="28"/>
              </w:rPr>
              <w:t>1101</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短期投资</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11</w:t>
            </w:r>
            <w:r>
              <w:rPr>
                <w:rFonts w:hint="eastAsia" w:ascii="仿宋" w:hAnsi="仿宋" w:eastAsia="仿宋"/>
                <w:sz w:val="28"/>
                <w:szCs w:val="28"/>
              </w:rPr>
              <w:t>0</w:t>
            </w:r>
            <w:r>
              <w:rPr>
                <w:rFonts w:ascii="仿宋" w:hAnsi="仿宋" w:eastAsia="仿宋"/>
                <w:sz w:val="28"/>
                <w:szCs w:val="28"/>
              </w:rPr>
              <w:t>1</w:t>
            </w:r>
          </w:p>
        </w:tc>
        <w:tc>
          <w:tcPr>
            <w:tcW w:w="3271" w:type="dxa"/>
            <w:vAlign w:val="center"/>
          </w:tcPr>
          <w:p>
            <w:pPr>
              <w:pStyle w:val="8"/>
              <w:rPr>
                <w:rFonts w:ascii="仿宋" w:hAnsi="仿宋" w:eastAsia="仿宋"/>
                <w:sz w:val="28"/>
                <w:szCs w:val="28"/>
              </w:rPr>
            </w:pPr>
            <w:r>
              <w:rPr>
                <w:rFonts w:ascii="仿宋" w:hAnsi="仿宋" w:eastAsia="仿宋"/>
                <w:sz w:val="28"/>
                <w:szCs w:val="28"/>
              </w:rPr>
              <w:t>短期投资</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6</w:t>
            </w:r>
          </w:p>
        </w:tc>
        <w:tc>
          <w:tcPr>
            <w:tcW w:w="810" w:type="dxa"/>
          </w:tcPr>
          <w:p>
            <w:pPr>
              <w:rPr>
                <w:rFonts w:ascii="仿宋" w:hAnsi="仿宋" w:eastAsia="仿宋" w:cs="宋体"/>
                <w:sz w:val="28"/>
                <w:szCs w:val="28"/>
              </w:rPr>
            </w:pPr>
            <w:r>
              <w:rPr>
                <w:rFonts w:hint="eastAsia" w:ascii="仿宋" w:hAnsi="仿宋" w:eastAsia="仿宋" w:cs="宋体"/>
                <w:sz w:val="28"/>
                <w:szCs w:val="28"/>
              </w:rPr>
              <w:t>1201</w:t>
            </w:r>
          </w:p>
        </w:tc>
        <w:tc>
          <w:tcPr>
            <w:tcW w:w="2575" w:type="dxa"/>
          </w:tcPr>
          <w:p>
            <w:pPr>
              <w:rPr>
                <w:rFonts w:ascii="仿宋" w:hAnsi="仿宋" w:eastAsia="仿宋" w:cs="宋体"/>
                <w:sz w:val="28"/>
                <w:szCs w:val="28"/>
              </w:rPr>
            </w:pPr>
            <w:r>
              <w:rPr>
                <w:rFonts w:hint="eastAsia" w:ascii="仿宋" w:hAnsi="仿宋" w:eastAsia="仿宋" w:cs="宋体"/>
                <w:sz w:val="28"/>
                <w:szCs w:val="28"/>
              </w:rPr>
              <w:t>财政应返还额度</w:t>
            </w:r>
          </w:p>
        </w:tc>
        <w:tc>
          <w:tcPr>
            <w:tcW w:w="1235" w:type="dxa"/>
            <w:vAlign w:val="center"/>
          </w:tcPr>
          <w:p>
            <w:pPr>
              <w:pStyle w:val="8"/>
              <w:rPr>
                <w:rFonts w:cs="宋体"/>
                <w:sz w:val="28"/>
                <w:szCs w:val="28"/>
              </w:rPr>
            </w:pPr>
            <w:r>
              <w:rPr>
                <w:rFonts w:hint="eastAsia" w:cs="宋体"/>
                <w:sz w:val="28"/>
                <w:szCs w:val="28"/>
              </w:rPr>
              <w:t xml:space="preserve">  1201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7</w:t>
            </w:r>
          </w:p>
        </w:tc>
        <w:tc>
          <w:tcPr>
            <w:tcW w:w="810" w:type="dxa"/>
          </w:tcPr>
          <w:p>
            <w:pPr>
              <w:rPr>
                <w:rFonts w:ascii="仿宋" w:hAnsi="仿宋" w:eastAsia="仿宋" w:cs="宋体"/>
                <w:sz w:val="28"/>
                <w:szCs w:val="28"/>
              </w:rPr>
            </w:pPr>
            <w:r>
              <w:rPr>
                <w:rFonts w:ascii="仿宋" w:hAnsi="仿宋" w:eastAsia="仿宋" w:cs="宋体"/>
                <w:sz w:val="28"/>
                <w:szCs w:val="28"/>
              </w:rPr>
              <w:t>1211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应收票据</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21</w:t>
            </w:r>
            <w:r>
              <w:rPr>
                <w:rFonts w:ascii="仿宋" w:hAnsi="仿宋" w:eastAsia="仿宋"/>
                <w:sz w:val="28"/>
                <w:szCs w:val="28"/>
              </w:rPr>
              <w:t>1</w:t>
            </w:r>
          </w:p>
        </w:tc>
        <w:tc>
          <w:tcPr>
            <w:tcW w:w="3271" w:type="dxa"/>
            <w:vAlign w:val="center"/>
          </w:tcPr>
          <w:p>
            <w:pPr>
              <w:pStyle w:val="8"/>
              <w:rPr>
                <w:rFonts w:ascii="仿宋" w:hAnsi="仿宋" w:eastAsia="仿宋"/>
                <w:sz w:val="28"/>
                <w:szCs w:val="28"/>
              </w:rPr>
            </w:pPr>
            <w:r>
              <w:rPr>
                <w:rFonts w:ascii="仿宋" w:hAnsi="仿宋" w:eastAsia="仿宋"/>
                <w:sz w:val="28"/>
                <w:szCs w:val="28"/>
              </w:rPr>
              <w:t>应收票据</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8</w:t>
            </w:r>
          </w:p>
        </w:tc>
        <w:tc>
          <w:tcPr>
            <w:tcW w:w="810" w:type="dxa"/>
          </w:tcPr>
          <w:p>
            <w:pPr>
              <w:rPr>
                <w:rFonts w:ascii="仿宋" w:hAnsi="仿宋" w:eastAsia="仿宋" w:cs="宋体"/>
                <w:sz w:val="28"/>
                <w:szCs w:val="28"/>
              </w:rPr>
            </w:pPr>
            <w:r>
              <w:rPr>
                <w:rFonts w:ascii="仿宋" w:hAnsi="仿宋" w:eastAsia="仿宋" w:cs="宋体"/>
                <w:sz w:val="28"/>
                <w:szCs w:val="28"/>
              </w:rPr>
              <w:t>1212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应收账款</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2</w:t>
            </w:r>
          </w:p>
        </w:tc>
        <w:tc>
          <w:tcPr>
            <w:tcW w:w="3271" w:type="dxa"/>
            <w:vAlign w:val="center"/>
          </w:tcPr>
          <w:p>
            <w:pPr>
              <w:pStyle w:val="8"/>
              <w:rPr>
                <w:rFonts w:ascii="仿宋" w:hAnsi="仿宋" w:eastAsia="仿宋"/>
                <w:sz w:val="28"/>
                <w:szCs w:val="28"/>
              </w:rPr>
            </w:pPr>
            <w:r>
              <w:rPr>
                <w:rFonts w:ascii="仿宋" w:hAnsi="仿宋" w:eastAsia="仿宋"/>
                <w:sz w:val="28"/>
                <w:szCs w:val="28"/>
              </w:rPr>
              <w:t>应收账款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w:t>
            </w:r>
          </w:p>
        </w:tc>
        <w:tc>
          <w:tcPr>
            <w:tcW w:w="810" w:type="dxa"/>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4</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预付账款</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3</w:t>
            </w:r>
          </w:p>
        </w:tc>
        <w:tc>
          <w:tcPr>
            <w:tcW w:w="3271" w:type="dxa"/>
            <w:vAlign w:val="center"/>
          </w:tcPr>
          <w:p>
            <w:pPr>
              <w:pStyle w:val="8"/>
              <w:rPr>
                <w:rFonts w:ascii="仿宋" w:hAnsi="仿宋" w:eastAsia="仿宋"/>
                <w:sz w:val="28"/>
                <w:szCs w:val="28"/>
              </w:rPr>
            </w:pPr>
            <w:r>
              <w:rPr>
                <w:rFonts w:ascii="仿宋" w:hAnsi="仿宋" w:eastAsia="仿宋"/>
                <w:sz w:val="28"/>
                <w:szCs w:val="28"/>
              </w:rPr>
              <w:t>预付账款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10</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1215</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应收股利</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2</w:t>
            </w:r>
            <w:r>
              <w:rPr>
                <w:rFonts w:ascii="仿宋" w:hAnsi="仿宋" w:eastAsia="仿宋"/>
                <w:sz w:val="28"/>
                <w:szCs w:val="28"/>
              </w:rPr>
              <w:t>1</w:t>
            </w:r>
            <w:r>
              <w:rPr>
                <w:rFonts w:hint="eastAsia" w:ascii="仿宋" w:hAnsi="仿宋" w:eastAsia="仿宋"/>
                <w:sz w:val="28"/>
                <w:szCs w:val="28"/>
              </w:rPr>
              <w:t>5</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其他应收款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w:t>
            </w:r>
          </w:p>
        </w:tc>
        <w:tc>
          <w:tcPr>
            <w:tcW w:w="810" w:type="dxa"/>
            <w:vAlign w:val="center"/>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8</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其他应收款</w:t>
            </w:r>
          </w:p>
        </w:tc>
        <w:tc>
          <w:tcPr>
            <w:tcW w:w="1235" w:type="dxa"/>
            <w:vMerge w:val="continue"/>
            <w:vAlign w:val="center"/>
          </w:tcPr>
          <w:p>
            <w:pPr>
              <w:pStyle w:val="8"/>
              <w:rPr>
                <w:rFonts w:ascii="仿宋" w:hAnsi="仿宋" w:eastAsia="仿宋"/>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12</w:t>
            </w:r>
          </w:p>
        </w:tc>
        <w:tc>
          <w:tcPr>
            <w:tcW w:w="810" w:type="dxa"/>
          </w:tcPr>
          <w:p>
            <w:pPr>
              <w:rPr>
                <w:rFonts w:ascii="仿宋" w:hAnsi="仿宋" w:eastAsia="仿宋" w:cs="宋体"/>
                <w:sz w:val="28"/>
                <w:szCs w:val="28"/>
              </w:rPr>
            </w:pPr>
            <w:r>
              <w:rPr>
                <w:rFonts w:hint="eastAsia" w:ascii="仿宋" w:hAnsi="仿宋" w:eastAsia="仿宋" w:cs="宋体"/>
                <w:sz w:val="28"/>
                <w:szCs w:val="28"/>
              </w:rPr>
              <w:t>1219</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坏账准备</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22</w:t>
            </w:r>
            <w:r>
              <w:rPr>
                <w:rFonts w:ascii="仿宋" w:hAnsi="仿宋" w:eastAsia="仿宋"/>
                <w:sz w:val="28"/>
                <w:szCs w:val="28"/>
              </w:rPr>
              <w:t>1</w:t>
            </w:r>
          </w:p>
        </w:tc>
        <w:tc>
          <w:tcPr>
            <w:tcW w:w="3271" w:type="dxa"/>
            <w:vAlign w:val="center"/>
          </w:tcPr>
          <w:p>
            <w:pPr>
              <w:pStyle w:val="8"/>
              <w:rPr>
                <w:rFonts w:ascii="仿宋" w:hAnsi="仿宋" w:eastAsia="仿宋"/>
                <w:sz w:val="28"/>
                <w:szCs w:val="28"/>
              </w:rPr>
            </w:pPr>
            <w:r>
              <w:rPr>
                <w:rFonts w:ascii="仿宋" w:hAnsi="仿宋" w:eastAsia="仿宋"/>
                <w:sz w:val="28"/>
                <w:szCs w:val="28"/>
              </w:rPr>
              <w:t>坏账准备</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13</w:t>
            </w:r>
          </w:p>
        </w:tc>
        <w:tc>
          <w:tcPr>
            <w:tcW w:w="810" w:type="dxa"/>
            <w:vAlign w:val="center"/>
          </w:tcPr>
          <w:p>
            <w:pPr>
              <w:rPr>
                <w:rFonts w:ascii="仿宋" w:hAnsi="仿宋" w:eastAsia="仿宋" w:cs="宋体"/>
                <w:sz w:val="28"/>
                <w:szCs w:val="28"/>
              </w:rPr>
            </w:pPr>
            <w:r>
              <w:rPr>
                <w:rFonts w:ascii="仿宋" w:hAnsi="仿宋" w:eastAsia="仿宋" w:cs="宋体"/>
                <w:sz w:val="28"/>
                <w:szCs w:val="28"/>
              </w:rPr>
              <w:t>1301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在途物品</w:t>
            </w:r>
          </w:p>
        </w:tc>
        <w:tc>
          <w:tcPr>
            <w:tcW w:w="1235" w:type="dxa"/>
            <w:vMerge w:val="restart"/>
            <w:vAlign w:val="center"/>
          </w:tcPr>
          <w:p>
            <w:pPr>
              <w:pStyle w:val="8"/>
              <w:jc w:val="center"/>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30</w:t>
            </w:r>
            <w:r>
              <w:rPr>
                <w:rFonts w:ascii="仿宋" w:hAnsi="仿宋" w:eastAsia="仿宋"/>
                <w:sz w:val="28"/>
                <w:szCs w:val="28"/>
              </w:rPr>
              <w:t>1</w:t>
            </w:r>
          </w:p>
        </w:tc>
        <w:tc>
          <w:tcPr>
            <w:tcW w:w="3271" w:type="dxa"/>
            <w:vMerge w:val="restart"/>
            <w:vAlign w:val="center"/>
          </w:tcPr>
          <w:p>
            <w:pPr>
              <w:pStyle w:val="8"/>
              <w:rPr>
                <w:rFonts w:ascii="仿宋" w:hAnsi="仿宋" w:eastAsia="仿宋"/>
                <w:sz w:val="28"/>
                <w:szCs w:val="28"/>
              </w:rPr>
            </w:pPr>
            <w:r>
              <w:rPr>
                <w:rFonts w:hint="eastAsia" w:ascii="仿宋" w:hAnsi="仿宋" w:eastAsia="仿宋"/>
                <w:sz w:val="28"/>
                <w:szCs w:val="28"/>
              </w:rPr>
              <w:t>库存物资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14</w:t>
            </w:r>
          </w:p>
        </w:tc>
        <w:tc>
          <w:tcPr>
            <w:tcW w:w="810" w:type="dxa"/>
            <w:shd w:val="clear" w:color="auto" w:fill="auto"/>
            <w:vAlign w:val="center"/>
          </w:tcPr>
          <w:p>
            <w:pPr>
              <w:rPr>
                <w:rFonts w:ascii="仿宋" w:hAnsi="仿宋" w:eastAsia="仿宋" w:cs="Times New Roman"/>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库存物品</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15</w:t>
            </w:r>
          </w:p>
        </w:tc>
        <w:tc>
          <w:tcPr>
            <w:tcW w:w="810" w:type="dxa"/>
            <w:vAlign w:val="center"/>
          </w:tcPr>
          <w:p>
            <w:pPr>
              <w:rPr>
                <w:rFonts w:ascii="仿宋" w:hAnsi="仿宋" w:eastAsia="仿宋" w:cs="宋体"/>
                <w:sz w:val="28"/>
                <w:szCs w:val="28"/>
              </w:rPr>
            </w:pPr>
            <w:r>
              <w:rPr>
                <w:rFonts w:ascii="仿宋" w:hAnsi="仿宋" w:eastAsia="仿宋" w:cs="宋体"/>
                <w:sz w:val="28"/>
                <w:szCs w:val="28"/>
              </w:rPr>
              <w:t>1301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在途物品</w:t>
            </w:r>
          </w:p>
        </w:tc>
        <w:tc>
          <w:tcPr>
            <w:tcW w:w="1235" w:type="dxa"/>
            <w:vAlign w:val="bottom"/>
          </w:tcPr>
          <w:p>
            <w:pPr>
              <w:pStyle w:val="8"/>
              <w:jc w:val="center"/>
              <w:rPr>
                <w:rFonts w:ascii="仿宋" w:hAnsi="仿宋" w:eastAsia="仿宋"/>
                <w:sz w:val="28"/>
                <w:szCs w:val="28"/>
              </w:rPr>
            </w:pPr>
            <w:r>
              <w:rPr>
                <w:rFonts w:hint="eastAsia" w:ascii="仿宋" w:hAnsi="仿宋" w:eastAsia="仿宋"/>
                <w:sz w:val="28"/>
                <w:szCs w:val="28"/>
              </w:rPr>
              <w:t>121</w:t>
            </w:r>
          </w:p>
        </w:tc>
        <w:tc>
          <w:tcPr>
            <w:tcW w:w="3271" w:type="dxa"/>
            <w:vAlign w:val="bottom"/>
          </w:tcPr>
          <w:p>
            <w:pPr>
              <w:pStyle w:val="8"/>
              <w:rPr>
                <w:rFonts w:ascii="仿宋" w:hAnsi="仿宋" w:eastAsia="仿宋"/>
                <w:sz w:val="28"/>
                <w:szCs w:val="28"/>
              </w:rPr>
            </w:pPr>
            <w:r>
              <w:rPr>
                <w:rFonts w:hint="eastAsia" w:ascii="仿宋" w:hAnsi="仿宋" w:eastAsia="仿宋"/>
                <w:sz w:val="28"/>
                <w:szCs w:val="28"/>
              </w:rPr>
              <w:t>在途材料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16</w:t>
            </w:r>
          </w:p>
        </w:tc>
        <w:tc>
          <w:tcPr>
            <w:tcW w:w="810" w:type="dxa"/>
            <w:vMerge w:val="restart"/>
            <w:vAlign w:val="center"/>
          </w:tcPr>
          <w:p>
            <w:pPr>
              <w:rPr>
                <w:rFonts w:ascii="仿宋" w:hAnsi="仿宋" w:eastAsia="仿宋" w:cs="Times New Roman"/>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库存物品</w:t>
            </w:r>
          </w:p>
        </w:tc>
        <w:tc>
          <w:tcPr>
            <w:tcW w:w="1235" w:type="dxa"/>
            <w:vAlign w:val="center"/>
          </w:tcPr>
          <w:p>
            <w:pPr>
              <w:jc w:val="center"/>
              <w:rPr>
                <w:rFonts w:ascii="仿宋" w:hAnsi="仿宋" w:eastAsia="仿宋" w:cs="宋体"/>
                <w:sz w:val="28"/>
                <w:szCs w:val="28"/>
              </w:rPr>
            </w:pPr>
            <w:r>
              <w:rPr>
                <w:rFonts w:hint="eastAsia" w:ascii="仿宋" w:hAnsi="仿宋" w:eastAsia="仿宋" w:cs="宋体"/>
                <w:sz w:val="28"/>
                <w:szCs w:val="28"/>
              </w:rPr>
              <w:t>123</w:t>
            </w:r>
          </w:p>
        </w:tc>
        <w:tc>
          <w:tcPr>
            <w:tcW w:w="3271" w:type="dxa"/>
            <w:vAlign w:val="center"/>
          </w:tcPr>
          <w:p>
            <w:pPr>
              <w:rPr>
                <w:rFonts w:ascii="仿宋" w:hAnsi="仿宋" w:eastAsia="仿宋" w:cs="宋体"/>
                <w:sz w:val="28"/>
                <w:szCs w:val="28"/>
              </w:rPr>
            </w:pPr>
            <w:r>
              <w:rPr>
                <w:rFonts w:hint="eastAsia" w:ascii="仿宋" w:hAnsi="仿宋" w:eastAsia="仿宋" w:cs="宋体"/>
                <w:sz w:val="28"/>
                <w:szCs w:val="28"/>
              </w:rPr>
              <w:t>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17</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235" w:type="dxa"/>
            <w:vAlign w:val="center"/>
          </w:tcPr>
          <w:p>
            <w:pPr>
              <w:jc w:val="center"/>
              <w:rPr>
                <w:rFonts w:ascii="仿宋" w:hAnsi="仿宋" w:eastAsia="仿宋" w:cs="宋体"/>
                <w:sz w:val="28"/>
                <w:szCs w:val="28"/>
              </w:rPr>
            </w:pPr>
            <w:r>
              <w:rPr>
                <w:rFonts w:hint="eastAsia" w:ascii="仿宋" w:hAnsi="仿宋" w:eastAsia="仿宋" w:cs="宋体"/>
                <w:sz w:val="28"/>
                <w:szCs w:val="28"/>
              </w:rPr>
              <w:t>129</w:t>
            </w:r>
          </w:p>
        </w:tc>
        <w:tc>
          <w:tcPr>
            <w:tcW w:w="3271" w:type="dxa"/>
            <w:vAlign w:val="center"/>
          </w:tcPr>
          <w:p>
            <w:pPr>
              <w:rPr>
                <w:rFonts w:ascii="仿宋" w:hAnsi="仿宋" w:eastAsia="仿宋" w:cs="宋体"/>
                <w:sz w:val="28"/>
                <w:szCs w:val="28"/>
              </w:rPr>
            </w:pPr>
            <w:r>
              <w:rPr>
                <w:rFonts w:hint="eastAsia" w:ascii="仿宋" w:hAnsi="仿宋" w:eastAsia="仿宋" w:cs="宋体"/>
                <w:sz w:val="28"/>
                <w:szCs w:val="28"/>
              </w:rPr>
              <w:t>低值易耗品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18</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235" w:type="dxa"/>
            <w:vAlign w:val="center"/>
          </w:tcPr>
          <w:p>
            <w:pPr>
              <w:jc w:val="center"/>
              <w:rPr>
                <w:rFonts w:ascii="仿宋" w:hAnsi="仿宋" w:eastAsia="仿宋" w:cs="宋体"/>
                <w:sz w:val="28"/>
                <w:szCs w:val="28"/>
              </w:rPr>
            </w:pPr>
            <w:r>
              <w:rPr>
                <w:rFonts w:hint="eastAsia" w:ascii="仿宋" w:hAnsi="仿宋" w:eastAsia="仿宋" w:cs="宋体"/>
                <w:sz w:val="28"/>
                <w:szCs w:val="28"/>
              </w:rPr>
              <w:t>137</w:t>
            </w:r>
          </w:p>
        </w:tc>
        <w:tc>
          <w:tcPr>
            <w:tcW w:w="3271" w:type="dxa"/>
            <w:vAlign w:val="center"/>
          </w:tcPr>
          <w:p>
            <w:pPr>
              <w:rPr>
                <w:rFonts w:ascii="仿宋" w:hAnsi="仿宋" w:eastAsia="仿宋" w:cs="宋体"/>
                <w:sz w:val="28"/>
                <w:szCs w:val="28"/>
              </w:rPr>
            </w:pPr>
            <w:r>
              <w:rPr>
                <w:rFonts w:hint="eastAsia" w:ascii="仿宋" w:hAnsi="仿宋" w:eastAsia="仿宋" w:cs="宋体"/>
                <w:sz w:val="28"/>
                <w:szCs w:val="28"/>
              </w:rPr>
              <w:t>产成品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19</w:t>
            </w:r>
          </w:p>
        </w:tc>
        <w:tc>
          <w:tcPr>
            <w:tcW w:w="810" w:type="dxa"/>
            <w:vMerge w:val="continue"/>
            <w:vAlign w:val="center"/>
          </w:tcPr>
          <w:p>
            <w:pPr>
              <w:rPr>
                <w:rFonts w:ascii="仿宋" w:hAnsi="仿宋" w:eastAsia="仿宋" w:cs="宋体"/>
                <w:sz w:val="28"/>
                <w:szCs w:val="28"/>
              </w:rPr>
            </w:pPr>
          </w:p>
        </w:tc>
        <w:tc>
          <w:tcPr>
            <w:tcW w:w="2575" w:type="dxa"/>
            <w:vMerge w:val="continue"/>
            <w:vAlign w:val="center"/>
          </w:tcPr>
          <w:p>
            <w:pPr>
              <w:rPr>
                <w:rFonts w:ascii="仿宋" w:hAnsi="仿宋" w:eastAsia="仿宋" w:cs="Times New Roman"/>
                <w:sz w:val="28"/>
                <w:szCs w:val="28"/>
              </w:rPr>
            </w:pPr>
          </w:p>
        </w:tc>
        <w:tc>
          <w:tcPr>
            <w:tcW w:w="1235" w:type="dxa"/>
            <w:vAlign w:val="center"/>
          </w:tcPr>
          <w:p>
            <w:pPr>
              <w:jc w:val="center"/>
              <w:rPr>
                <w:rFonts w:ascii="仿宋" w:hAnsi="仿宋" w:eastAsia="仿宋" w:cs="宋体"/>
                <w:sz w:val="28"/>
                <w:szCs w:val="28"/>
              </w:rPr>
            </w:pPr>
            <w:r>
              <w:rPr>
                <w:rFonts w:hint="eastAsia" w:ascii="仿宋" w:hAnsi="仿宋" w:eastAsia="仿宋" w:cs="宋体"/>
                <w:sz w:val="28"/>
                <w:szCs w:val="28"/>
              </w:rPr>
              <w:t>138</w:t>
            </w:r>
          </w:p>
        </w:tc>
        <w:tc>
          <w:tcPr>
            <w:tcW w:w="3271" w:type="dxa"/>
            <w:vAlign w:val="center"/>
          </w:tcPr>
          <w:p>
            <w:pPr>
              <w:rPr>
                <w:rFonts w:ascii="仿宋" w:hAnsi="仿宋" w:eastAsia="仿宋" w:cs="宋体"/>
                <w:sz w:val="28"/>
                <w:szCs w:val="28"/>
              </w:rPr>
            </w:pPr>
            <w:r>
              <w:rPr>
                <w:rFonts w:hint="eastAsia" w:ascii="仿宋" w:hAnsi="仿宋" w:eastAsia="仿宋" w:cs="宋体"/>
                <w:sz w:val="28"/>
                <w:szCs w:val="28"/>
              </w:rPr>
              <w:t>分期收款发出商品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20</w:t>
            </w:r>
          </w:p>
        </w:tc>
        <w:tc>
          <w:tcPr>
            <w:tcW w:w="810" w:type="dxa"/>
          </w:tcPr>
          <w:p>
            <w:pPr>
              <w:rPr>
                <w:rFonts w:ascii="仿宋" w:hAnsi="仿宋" w:eastAsia="仿宋" w:cs="Times New Roman"/>
                <w:sz w:val="28"/>
                <w:szCs w:val="28"/>
              </w:rPr>
            </w:pPr>
            <w:r>
              <w:rPr>
                <w:rFonts w:hint="eastAsia" w:ascii="仿宋" w:hAnsi="仿宋" w:eastAsia="仿宋" w:cs="Times New Roman"/>
                <w:sz w:val="28"/>
                <w:szCs w:val="28"/>
              </w:rPr>
              <w:t>1303</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加工物品</w:t>
            </w:r>
          </w:p>
        </w:tc>
        <w:tc>
          <w:tcPr>
            <w:tcW w:w="1235" w:type="dxa"/>
            <w:vAlign w:val="center"/>
          </w:tcPr>
          <w:p>
            <w:pPr>
              <w:jc w:val="center"/>
              <w:rPr>
                <w:rFonts w:ascii="仿宋" w:hAnsi="仿宋" w:eastAsia="仿宋" w:cs="Times New Roman"/>
                <w:sz w:val="28"/>
                <w:szCs w:val="28"/>
              </w:rPr>
            </w:pPr>
            <w:r>
              <w:rPr>
                <w:rFonts w:ascii="仿宋" w:hAnsi="仿宋" w:eastAsia="仿宋"/>
                <w:sz w:val="28"/>
                <w:szCs w:val="28"/>
              </w:rPr>
              <w:t>13</w:t>
            </w:r>
            <w:r>
              <w:rPr>
                <w:rFonts w:hint="eastAsia" w:ascii="仿宋" w:hAnsi="仿宋" w:eastAsia="仿宋"/>
                <w:sz w:val="28"/>
                <w:szCs w:val="28"/>
              </w:rPr>
              <w:t>2</w:t>
            </w:r>
          </w:p>
        </w:tc>
        <w:tc>
          <w:tcPr>
            <w:tcW w:w="3271" w:type="dxa"/>
            <w:vAlign w:val="center"/>
          </w:tcPr>
          <w:p>
            <w:pPr>
              <w:rPr>
                <w:rFonts w:ascii="仿宋" w:hAnsi="仿宋" w:eastAsia="仿宋" w:cs="Times New Roman"/>
                <w:sz w:val="28"/>
                <w:szCs w:val="28"/>
              </w:rPr>
            </w:pPr>
            <w:r>
              <w:rPr>
                <w:rFonts w:ascii="仿宋" w:hAnsi="仿宋" w:eastAsia="仿宋"/>
                <w:sz w:val="28"/>
                <w:szCs w:val="28"/>
              </w:rPr>
              <w:t>委托加工</w:t>
            </w:r>
            <w:r>
              <w:rPr>
                <w:rFonts w:hint="eastAsia" w:ascii="仿宋" w:hAnsi="仿宋" w:eastAsia="仿宋"/>
                <w:sz w:val="28"/>
                <w:szCs w:val="28"/>
              </w:rPr>
              <w:t>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21</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1841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林木资产</w:t>
            </w:r>
          </w:p>
        </w:tc>
        <w:tc>
          <w:tcPr>
            <w:tcW w:w="1235" w:type="dxa"/>
            <w:vAlign w:val="center"/>
          </w:tcPr>
          <w:p>
            <w:pPr>
              <w:pStyle w:val="8"/>
              <w:jc w:val="center"/>
              <w:rPr>
                <w:rFonts w:cs="宋体"/>
                <w:sz w:val="28"/>
                <w:szCs w:val="28"/>
              </w:rPr>
            </w:pPr>
            <w:r>
              <w:rPr>
                <w:rFonts w:hint="eastAsia" w:cs="宋体"/>
                <w:sz w:val="28"/>
                <w:szCs w:val="28"/>
              </w:rPr>
              <w:t>1303</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苗木资产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22</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1401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待摊费用</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39</w:t>
            </w:r>
          </w:p>
        </w:tc>
        <w:tc>
          <w:tcPr>
            <w:tcW w:w="3271" w:type="dxa"/>
            <w:vAlign w:val="center"/>
          </w:tcPr>
          <w:p>
            <w:pPr>
              <w:pStyle w:val="8"/>
              <w:rPr>
                <w:rFonts w:ascii="仿宋" w:hAnsi="仿宋" w:eastAsia="仿宋"/>
                <w:sz w:val="28"/>
                <w:szCs w:val="28"/>
              </w:rPr>
            </w:pPr>
            <w:r>
              <w:rPr>
                <w:rFonts w:ascii="仿宋" w:hAnsi="仿宋" w:eastAsia="仿宋"/>
                <w:sz w:val="28"/>
                <w:szCs w:val="28"/>
              </w:rPr>
              <w:t>待摊费用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23</w:t>
            </w:r>
          </w:p>
        </w:tc>
        <w:tc>
          <w:tcPr>
            <w:tcW w:w="810" w:type="dxa"/>
          </w:tcPr>
          <w:p>
            <w:pPr>
              <w:rPr>
                <w:rFonts w:ascii="仿宋" w:hAnsi="仿宋" w:eastAsia="仿宋" w:cs="宋体"/>
                <w:sz w:val="28"/>
                <w:szCs w:val="28"/>
              </w:rPr>
            </w:pPr>
            <w:r>
              <w:rPr>
                <w:rFonts w:ascii="仿宋" w:hAnsi="仿宋" w:eastAsia="仿宋" w:cs="宋体"/>
                <w:sz w:val="28"/>
                <w:szCs w:val="28"/>
              </w:rPr>
              <w:t>1501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长期股权投资</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50</w:t>
            </w:r>
            <w:r>
              <w:rPr>
                <w:rFonts w:ascii="仿宋" w:hAnsi="仿宋" w:eastAsia="仿宋"/>
                <w:sz w:val="28"/>
                <w:szCs w:val="28"/>
              </w:rPr>
              <w:t>1</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24</w:t>
            </w:r>
          </w:p>
        </w:tc>
        <w:tc>
          <w:tcPr>
            <w:tcW w:w="810" w:type="dxa"/>
          </w:tcPr>
          <w:p>
            <w:pPr>
              <w:rPr>
                <w:rFonts w:ascii="仿宋" w:hAnsi="仿宋" w:eastAsia="仿宋" w:cs="宋体"/>
                <w:sz w:val="28"/>
                <w:szCs w:val="28"/>
              </w:rPr>
            </w:pPr>
            <w:r>
              <w:rPr>
                <w:rFonts w:ascii="仿宋" w:hAnsi="仿宋" w:eastAsia="仿宋" w:cs="宋体"/>
                <w:sz w:val="28"/>
                <w:szCs w:val="28"/>
              </w:rPr>
              <w:t>1502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长期债券投资</w:t>
            </w:r>
          </w:p>
        </w:tc>
        <w:tc>
          <w:tcPr>
            <w:tcW w:w="1235" w:type="dxa"/>
            <w:vMerge w:val="continue"/>
            <w:vAlign w:val="center"/>
          </w:tcPr>
          <w:p>
            <w:pPr>
              <w:pStyle w:val="8"/>
              <w:rPr>
                <w:rFonts w:ascii="仿宋" w:hAnsi="仿宋" w:eastAsia="仿宋"/>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25</w:t>
            </w:r>
          </w:p>
        </w:tc>
        <w:tc>
          <w:tcPr>
            <w:tcW w:w="810" w:type="dxa"/>
          </w:tcPr>
          <w:p>
            <w:pPr>
              <w:rPr>
                <w:rFonts w:ascii="仿宋" w:hAnsi="仿宋" w:eastAsia="仿宋" w:cs="宋体"/>
                <w:sz w:val="28"/>
                <w:szCs w:val="28"/>
              </w:rPr>
            </w:pPr>
            <w:r>
              <w:rPr>
                <w:rFonts w:hint="eastAsia" w:ascii="仿宋" w:hAnsi="仿宋" w:eastAsia="仿宋" w:cs="宋体"/>
                <w:sz w:val="28"/>
                <w:szCs w:val="28"/>
              </w:rPr>
              <w:t>1216</w:t>
            </w:r>
          </w:p>
        </w:tc>
        <w:tc>
          <w:tcPr>
            <w:tcW w:w="2575" w:type="dxa"/>
          </w:tcPr>
          <w:p>
            <w:pPr>
              <w:rPr>
                <w:rFonts w:ascii="仿宋" w:hAnsi="仿宋" w:eastAsia="仿宋" w:cs="宋体"/>
                <w:sz w:val="28"/>
                <w:szCs w:val="28"/>
              </w:rPr>
            </w:pPr>
            <w:r>
              <w:rPr>
                <w:rFonts w:hint="eastAsia" w:ascii="仿宋" w:hAnsi="仿宋" w:eastAsia="仿宋" w:cs="宋体"/>
                <w:sz w:val="28"/>
                <w:szCs w:val="28"/>
              </w:rPr>
              <w:t>应收利息</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26</w:t>
            </w:r>
          </w:p>
        </w:tc>
        <w:tc>
          <w:tcPr>
            <w:tcW w:w="810" w:type="dxa"/>
          </w:tcPr>
          <w:p>
            <w:pPr>
              <w:rPr>
                <w:rFonts w:ascii="仿宋" w:hAnsi="仿宋" w:eastAsia="仿宋" w:cs="宋体"/>
                <w:sz w:val="28"/>
                <w:szCs w:val="28"/>
              </w:rPr>
            </w:pPr>
            <w:r>
              <w:rPr>
                <w:rFonts w:ascii="仿宋" w:hAnsi="仿宋" w:eastAsia="仿宋" w:cs="宋体"/>
                <w:sz w:val="28"/>
                <w:szCs w:val="28"/>
              </w:rPr>
              <w:t>1501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长期股权投资</w:t>
            </w:r>
          </w:p>
        </w:tc>
        <w:tc>
          <w:tcPr>
            <w:tcW w:w="1235" w:type="dxa"/>
            <w:vMerge w:val="restart"/>
            <w:vAlign w:val="center"/>
          </w:tcPr>
          <w:p>
            <w:pPr>
              <w:pStyle w:val="8"/>
              <w:rPr>
                <w:rFonts w:ascii="仿宋" w:hAnsi="仿宋" w:eastAsia="仿宋"/>
                <w:sz w:val="28"/>
                <w:szCs w:val="28"/>
              </w:rPr>
            </w:pPr>
            <w:r>
              <w:rPr>
                <w:rFonts w:hint="eastAsia" w:cs="宋体"/>
                <w:sz w:val="28"/>
                <w:szCs w:val="28"/>
              </w:rPr>
              <w:t> </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拨付所属资金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27</w:t>
            </w:r>
          </w:p>
        </w:tc>
        <w:tc>
          <w:tcPr>
            <w:tcW w:w="810" w:type="dxa"/>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累计盈余（借方）</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28</w:t>
            </w:r>
          </w:p>
        </w:tc>
        <w:tc>
          <w:tcPr>
            <w:tcW w:w="810" w:type="dxa"/>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6</w:t>
            </w:r>
            <w:r>
              <w:rPr>
                <w:rFonts w:ascii="仿宋" w:hAnsi="仿宋" w:eastAsia="仿宋" w:cs="宋体"/>
                <w:sz w:val="28"/>
                <w:szCs w:val="28"/>
              </w:rPr>
              <w:t>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固定资产</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1</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29</w:t>
            </w:r>
          </w:p>
        </w:tc>
        <w:tc>
          <w:tcPr>
            <w:tcW w:w="810" w:type="dxa"/>
          </w:tcPr>
          <w:p>
            <w:pPr>
              <w:rPr>
                <w:rFonts w:ascii="仿宋" w:hAnsi="仿宋" w:eastAsia="仿宋" w:cs="宋体"/>
                <w:sz w:val="28"/>
                <w:szCs w:val="28"/>
              </w:rPr>
            </w:pPr>
            <w:r>
              <w:rPr>
                <w:rFonts w:ascii="仿宋" w:hAnsi="仿宋" w:eastAsia="仿宋" w:cs="宋体"/>
                <w:sz w:val="28"/>
                <w:szCs w:val="28"/>
              </w:rPr>
              <w:t>1701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无形资产</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30</w:t>
            </w:r>
          </w:p>
        </w:tc>
        <w:tc>
          <w:tcPr>
            <w:tcW w:w="810" w:type="dxa"/>
          </w:tcPr>
          <w:p>
            <w:pPr>
              <w:rPr>
                <w:rFonts w:ascii="仿宋" w:hAnsi="仿宋" w:eastAsia="仿宋" w:cs="宋体"/>
                <w:sz w:val="28"/>
                <w:szCs w:val="28"/>
              </w:rPr>
            </w:pPr>
            <w:r>
              <w:rPr>
                <w:rFonts w:hint="eastAsia" w:ascii="仿宋" w:hAnsi="仿宋" w:eastAsia="仿宋" w:cs="宋体"/>
                <w:sz w:val="28"/>
                <w:szCs w:val="28"/>
              </w:rPr>
              <w:t>1602</w:t>
            </w:r>
          </w:p>
        </w:tc>
        <w:tc>
          <w:tcPr>
            <w:tcW w:w="2575" w:type="dxa"/>
          </w:tcPr>
          <w:p>
            <w:pPr>
              <w:rPr>
                <w:rFonts w:ascii="仿宋" w:hAnsi="仿宋" w:eastAsia="仿宋" w:cs="宋体"/>
                <w:sz w:val="28"/>
                <w:szCs w:val="28"/>
              </w:rPr>
            </w:pPr>
            <w:r>
              <w:rPr>
                <w:rFonts w:hint="eastAsia" w:ascii="仿宋" w:hAnsi="仿宋" w:eastAsia="仿宋" w:cs="宋体"/>
                <w:sz w:val="28"/>
                <w:szCs w:val="28"/>
              </w:rPr>
              <w:t>固定资产累计折旧</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55</w:t>
            </w:r>
          </w:p>
        </w:tc>
        <w:tc>
          <w:tcPr>
            <w:tcW w:w="3271" w:type="dxa"/>
            <w:vAlign w:val="center"/>
          </w:tcPr>
          <w:p>
            <w:pPr>
              <w:pStyle w:val="8"/>
              <w:rPr>
                <w:rFonts w:ascii="仿宋" w:hAnsi="仿宋" w:eastAsia="仿宋"/>
                <w:sz w:val="28"/>
                <w:szCs w:val="28"/>
              </w:rPr>
            </w:pPr>
            <w:r>
              <w:rPr>
                <w:rFonts w:ascii="仿宋" w:hAnsi="仿宋" w:eastAsia="仿宋"/>
                <w:sz w:val="28"/>
                <w:szCs w:val="28"/>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31</w:t>
            </w:r>
          </w:p>
        </w:tc>
        <w:tc>
          <w:tcPr>
            <w:tcW w:w="810" w:type="dxa"/>
          </w:tcPr>
          <w:p>
            <w:pPr>
              <w:rPr>
                <w:rFonts w:ascii="仿宋" w:hAnsi="仿宋" w:eastAsia="仿宋" w:cs="宋体"/>
                <w:sz w:val="28"/>
                <w:szCs w:val="28"/>
              </w:rPr>
            </w:pPr>
            <w:r>
              <w:rPr>
                <w:rFonts w:ascii="仿宋" w:hAnsi="仿宋" w:eastAsia="仿宋" w:cs="宋体"/>
                <w:sz w:val="28"/>
                <w:szCs w:val="28"/>
              </w:rPr>
              <w:t>190</w:t>
            </w:r>
            <w:r>
              <w:rPr>
                <w:rFonts w:hint="eastAsia" w:ascii="仿宋" w:hAnsi="仿宋" w:eastAsia="仿宋" w:cs="宋体"/>
                <w:sz w:val="28"/>
                <w:szCs w:val="28"/>
              </w:rPr>
              <w:t>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待处理财产损溢</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56</w:t>
            </w:r>
          </w:p>
        </w:tc>
        <w:tc>
          <w:tcPr>
            <w:tcW w:w="3271" w:type="dxa"/>
            <w:vAlign w:val="center"/>
          </w:tcPr>
          <w:p>
            <w:pPr>
              <w:pStyle w:val="8"/>
              <w:rPr>
                <w:rFonts w:ascii="仿宋" w:hAnsi="仿宋" w:eastAsia="仿宋"/>
                <w:sz w:val="28"/>
                <w:szCs w:val="28"/>
              </w:rPr>
            </w:pPr>
            <w:r>
              <w:rPr>
                <w:rFonts w:ascii="仿宋" w:hAnsi="仿宋" w:eastAsia="仿宋"/>
                <w:sz w:val="28"/>
                <w:szCs w:val="28"/>
              </w:rPr>
              <w:t>固定资产清理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32</w:t>
            </w:r>
          </w:p>
        </w:tc>
        <w:tc>
          <w:tcPr>
            <w:tcW w:w="810" w:type="dxa"/>
          </w:tcPr>
          <w:p>
            <w:pPr>
              <w:rPr>
                <w:rFonts w:ascii="仿宋" w:hAnsi="仿宋" w:eastAsia="仿宋" w:cs="宋体"/>
                <w:sz w:val="28"/>
                <w:szCs w:val="28"/>
              </w:rPr>
            </w:pPr>
            <w:r>
              <w:rPr>
                <w:rFonts w:ascii="仿宋" w:hAnsi="仿宋" w:eastAsia="仿宋" w:cs="宋体"/>
                <w:sz w:val="28"/>
                <w:szCs w:val="28"/>
              </w:rPr>
              <w:t>1611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工程物资</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59</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33</w:t>
            </w:r>
          </w:p>
        </w:tc>
        <w:tc>
          <w:tcPr>
            <w:tcW w:w="810" w:type="dxa"/>
          </w:tcPr>
          <w:p>
            <w:pPr>
              <w:rPr>
                <w:rFonts w:ascii="仿宋" w:hAnsi="仿宋" w:eastAsia="仿宋" w:cs="宋体"/>
                <w:sz w:val="28"/>
                <w:szCs w:val="28"/>
              </w:rPr>
            </w:pPr>
            <w:r>
              <w:rPr>
                <w:rFonts w:ascii="仿宋" w:hAnsi="仿宋" w:eastAsia="仿宋" w:cs="宋体"/>
                <w:sz w:val="28"/>
                <w:szCs w:val="28"/>
              </w:rPr>
              <w:t>1613</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在建工程</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34</w:t>
            </w:r>
          </w:p>
        </w:tc>
        <w:tc>
          <w:tcPr>
            <w:tcW w:w="810" w:type="dxa"/>
          </w:tcPr>
          <w:p>
            <w:pPr>
              <w:rPr>
                <w:rFonts w:ascii="仿宋" w:hAnsi="仿宋" w:eastAsia="仿宋" w:cs="宋体"/>
                <w:sz w:val="28"/>
                <w:szCs w:val="28"/>
              </w:rPr>
            </w:pPr>
            <w:r>
              <w:rPr>
                <w:rFonts w:hint="eastAsia" w:ascii="仿宋" w:hAnsi="仿宋" w:eastAsia="仿宋" w:cs="宋体"/>
                <w:sz w:val="28"/>
                <w:szCs w:val="28"/>
              </w:rPr>
              <w:t>1214</w:t>
            </w:r>
          </w:p>
        </w:tc>
        <w:tc>
          <w:tcPr>
            <w:tcW w:w="2575" w:type="dxa"/>
          </w:tcPr>
          <w:p>
            <w:pPr>
              <w:rPr>
                <w:rFonts w:ascii="仿宋" w:hAnsi="仿宋" w:eastAsia="仿宋" w:cs="宋体"/>
                <w:sz w:val="28"/>
                <w:szCs w:val="28"/>
              </w:rPr>
            </w:pPr>
            <w:r>
              <w:rPr>
                <w:rFonts w:hint="eastAsia" w:ascii="仿宋" w:hAnsi="仿宋" w:eastAsia="仿宋" w:cs="宋体"/>
                <w:sz w:val="28"/>
                <w:szCs w:val="28"/>
              </w:rPr>
              <w:t>预付账款</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35</w:t>
            </w:r>
          </w:p>
        </w:tc>
        <w:tc>
          <w:tcPr>
            <w:tcW w:w="810" w:type="dxa"/>
          </w:tcPr>
          <w:p>
            <w:pPr>
              <w:rPr>
                <w:rFonts w:ascii="仿宋" w:hAnsi="仿宋" w:eastAsia="仿宋" w:cs="宋体"/>
                <w:sz w:val="28"/>
                <w:szCs w:val="28"/>
              </w:rPr>
            </w:pPr>
            <w:r>
              <w:rPr>
                <w:rFonts w:hint="eastAsia" w:ascii="仿宋" w:hAnsi="仿宋" w:eastAsia="仿宋" w:cs="宋体"/>
                <w:sz w:val="28"/>
                <w:szCs w:val="28"/>
              </w:rPr>
              <w:t>1901</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长期待摊费用</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7</w:t>
            </w:r>
            <w:r>
              <w:rPr>
                <w:rFonts w:ascii="仿宋" w:hAnsi="仿宋" w:eastAsia="仿宋"/>
                <w:sz w:val="28"/>
                <w:szCs w:val="28"/>
              </w:rPr>
              <w:t>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递延资产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36</w:t>
            </w:r>
          </w:p>
        </w:tc>
        <w:tc>
          <w:tcPr>
            <w:tcW w:w="810" w:type="dxa"/>
          </w:tcPr>
          <w:p>
            <w:pPr>
              <w:rPr>
                <w:rFonts w:ascii="仿宋" w:hAnsi="仿宋" w:eastAsia="仿宋" w:cs="宋体"/>
                <w:sz w:val="28"/>
                <w:szCs w:val="28"/>
              </w:rPr>
            </w:pPr>
            <w:r>
              <w:rPr>
                <w:rFonts w:ascii="仿宋" w:hAnsi="仿宋" w:eastAsia="仿宋" w:cs="宋体"/>
                <w:sz w:val="28"/>
                <w:szCs w:val="28"/>
              </w:rPr>
              <w:t>1701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无形资产</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6</w:t>
            </w:r>
            <w:r>
              <w:rPr>
                <w:rFonts w:ascii="仿宋" w:hAnsi="仿宋" w:eastAsia="仿宋"/>
                <w:sz w:val="28"/>
                <w:szCs w:val="28"/>
              </w:rPr>
              <w:t>1</w:t>
            </w:r>
          </w:p>
        </w:tc>
        <w:tc>
          <w:tcPr>
            <w:tcW w:w="3271" w:type="dxa"/>
            <w:vAlign w:val="center"/>
          </w:tcPr>
          <w:p>
            <w:pPr>
              <w:pStyle w:val="8"/>
              <w:rPr>
                <w:rFonts w:ascii="仿宋" w:hAnsi="仿宋" w:eastAsia="仿宋"/>
                <w:sz w:val="28"/>
                <w:szCs w:val="28"/>
              </w:rPr>
            </w:pPr>
            <w:r>
              <w:rPr>
                <w:rFonts w:ascii="仿宋" w:hAnsi="仿宋" w:eastAsia="仿宋"/>
                <w:sz w:val="28"/>
                <w:szCs w:val="28"/>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37</w:t>
            </w:r>
          </w:p>
        </w:tc>
        <w:tc>
          <w:tcPr>
            <w:tcW w:w="810" w:type="dxa"/>
          </w:tcPr>
          <w:p>
            <w:pPr>
              <w:rPr>
                <w:rFonts w:ascii="仿宋" w:hAnsi="仿宋" w:eastAsia="仿宋" w:cs="宋体"/>
                <w:sz w:val="28"/>
                <w:szCs w:val="28"/>
              </w:rPr>
            </w:pPr>
            <w:r>
              <w:rPr>
                <w:rFonts w:hint="eastAsia" w:ascii="仿宋" w:hAnsi="仿宋" w:eastAsia="仿宋" w:cs="宋体"/>
                <w:sz w:val="28"/>
                <w:szCs w:val="28"/>
              </w:rPr>
              <w:t>1702</w:t>
            </w:r>
          </w:p>
        </w:tc>
        <w:tc>
          <w:tcPr>
            <w:tcW w:w="2575" w:type="dxa"/>
          </w:tcPr>
          <w:p>
            <w:pPr>
              <w:rPr>
                <w:rFonts w:ascii="仿宋" w:hAnsi="仿宋" w:eastAsia="仿宋" w:cs="宋体"/>
                <w:sz w:val="28"/>
                <w:szCs w:val="28"/>
              </w:rPr>
            </w:pPr>
            <w:r>
              <w:rPr>
                <w:rFonts w:hint="eastAsia" w:ascii="仿宋" w:hAnsi="仿宋" w:eastAsia="仿宋" w:cs="宋体"/>
                <w:sz w:val="28"/>
                <w:szCs w:val="28"/>
              </w:rPr>
              <w:t>无形资产累计摊销</w:t>
            </w:r>
          </w:p>
        </w:tc>
        <w:tc>
          <w:tcPr>
            <w:tcW w:w="1235" w:type="dxa"/>
            <w:vAlign w:val="center"/>
          </w:tcPr>
          <w:p>
            <w:pPr>
              <w:pStyle w:val="8"/>
              <w:jc w:val="center"/>
              <w:rPr>
                <w:rFonts w:cs="宋体"/>
                <w:sz w:val="28"/>
                <w:szCs w:val="28"/>
              </w:rPr>
            </w:pPr>
            <w:r>
              <w:rPr>
                <w:rFonts w:hint="eastAsia" w:cs="宋体"/>
                <w:sz w:val="28"/>
                <w:szCs w:val="28"/>
              </w:rPr>
              <w:t>1802</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累计摊销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38</w:t>
            </w:r>
          </w:p>
        </w:tc>
        <w:tc>
          <w:tcPr>
            <w:tcW w:w="810" w:type="dxa"/>
          </w:tcPr>
          <w:p>
            <w:pPr>
              <w:rPr>
                <w:rFonts w:ascii="仿宋" w:hAnsi="仿宋" w:eastAsia="仿宋" w:cs="宋体"/>
                <w:sz w:val="28"/>
                <w:szCs w:val="28"/>
              </w:rPr>
            </w:pPr>
            <w:r>
              <w:rPr>
                <w:rFonts w:ascii="仿宋" w:hAnsi="仿宋" w:eastAsia="仿宋" w:cs="宋体"/>
                <w:sz w:val="28"/>
                <w:szCs w:val="28"/>
              </w:rPr>
              <w:t>190</w:t>
            </w:r>
            <w:r>
              <w:rPr>
                <w:rFonts w:hint="eastAsia" w:ascii="仿宋" w:hAnsi="仿宋" w:eastAsia="仿宋" w:cs="宋体"/>
                <w:sz w:val="28"/>
                <w:szCs w:val="28"/>
              </w:rPr>
              <w:t>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待处理财产损溢</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1</w:t>
            </w:r>
            <w:r>
              <w:rPr>
                <w:rFonts w:hint="eastAsia" w:ascii="仿宋" w:hAnsi="仿宋" w:eastAsia="仿宋"/>
                <w:sz w:val="28"/>
                <w:szCs w:val="28"/>
              </w:rPr>
              <w:t>81</w:t>
            </w:r>
          </w:p>
        </w:tc>
        <w:tc>
          <w:tcPr>
            <w:tcW w:w="3271" w:type="dxa"/>
            <w:vAlign w:val="center"/>
          </w:tcPr>
          <w:p>
            <w:pPr>
              <w:pStyle w:val="8"/>
              <w:rPr>
                <w:rFonts w:ascii="仿宋" w:hAnsi="仿宋" w:eastAsia="仿宋"/>
                <w:sz w:val="28"/>
                <w:szCs w:val="28"/>
              </w:rPr>
            </w:pPr>
            <w:r>
              <w:rPr>
                <w:rFonts w:ascii="仿宋" w:hAnsi="仿宋" w:eastAsia="仿宋"/>
                <w:sz w:val="28"/>
                <w:szCs w:val="28"/>
              </w:rPr>
              <w:t>待处理财产损溢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39</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1841</w:t>
            </w:r>
          </w:p>
        </w:tc>
        <w:tc>
          <w:tcPr>
            <w:tcW w:w="2575" w:type="dxa"/>
            <w:vAlign w:val="center"/>
          </w:tcPr>
          <w:p>
            <w:pPr>
              <w:rPr>
                <w:rFonts w:ascii="仿宋" w:hAnsi="仿宋" w:eastAsia="仿宋" w:cs="宋体"/>
                <w:sz w:val="28"/>
                <w:szCs w:val="28"/>
              </w:rPr>
            </w:pPr>
            <w:r>
              <w:rPr>
                <w:rFonts w:hint="eastAsia" w:ascii="仿宋" w:hAnsi="仿宋" w:eastAsia="仿宋"/>
                <w:sz w:val="28"/>
                <w:szCs w:val="28"/>
              </w:rPr>
              <w:t>林木资产</w:t>
            </w:r>
          </w:p>
        </w:tc>
        <w:tc>
          <w:tcPr>
            <w:tcW w:w="1235" w:type="dxa"/>
            <w:vAlign w:val="center"/>
          </w:tcPr>
          <w:p>
            <w:pPr>
              <w:pStyle w:val="8"/>
              <w:jc w:val="center"/>
              <w:rPr>
                <w:rFonts w:cs="宋体"/>
                <w:sz w:val="28"/>
                <w:szCs w:val="28"/>
              </w:rPr>
            </w:pPr>
            <w:r>
              <w:rPr>
                <w:rFonts w:hint="eastAsia" w:cs="宋体"/>
                <w:sz w:val="28"/>
                <w:szCs w:val="28"/>
              </w:rPr>
              <w:t>191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林木资产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pStyle w:val="8"/>
              <w:jc w:val="center"/>
              <w:rPr>
                <w:rFonts w:ascii="仿宋" w:hAnsi="仿宋" w:eastAsia="仿宋"/>
                <w:sz w:val="28"/>
                <w:szCs w:val="28"/>
              </w:rPr>
            </w:pPr>
            <w:r>
              <w:rPr>
                <w:rFonts w:hint="eastAsia" w:ascii="仿宋" w:hAnsi="仿宋" w:eastAsia="仿宋" w:cs="宋体"/>
                <w:sz w:val="32"/>
                <w:szCs w:val="32"/>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40</w:t>
            </w:r>
          </w:p>
        </w:tc>
        <w:tc>
          <w:tcPr>
            <w:tcW w:w="810" w:type="dxa"/>
          </w:tcPr>
          <w:p>
            <w:pPr>
              <w:rPr>
                <w:rFonts w:ascii="仿宋" w:hAnsi="仿宋" w:eastAsia="仿宋" w:cs="宋体"/>
                <w:sz w:val="28"/>
                <w:szCs w:val="28"/>
              </w:rPr>
            </w:pPr>
            <w:r>
              <w:rPr>
                <w:rFonts w:ascii="仿宋" w:hAnsi="仿宋" w:eastAsia="仿宋" w:cs="宋体"/>
                <w:sz w:val="28"/>
                <w:szCs w:val="28"/>
              </w:rPr>
              <w:t>2001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短期借款</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w:t>
            </w:r>
            <w:r>
              <w:rPr>
                <w:rFonts w:hint="eastAsia" w:ascii="仿宋" w:hAnsi="仿宋" w:eastAsia="仿宋"/>
                <w:sz w:val="28"/>
                <w:szCs w:val="28"/>
              </w:rPr>
              <w:t>0</w:t>
            </w:r>
            <w:r>
              <w:rPr>
                <w:rFonts w:ascii="仿宋" w:hAnsi="仿宋" w:eastAsia="仿宋"/>
                <w:sz w:val="28"/>
                <w:szCs w:val="28"/>
              </w:rPr>
              <w:t>01</w:t>
            </w:r>
          </w:p>
        </w:tc>
        <w:tc>
          <w:tcPr>
            <w:tcW w:w="3271" w:type="dxa"/>
            <w:vAlign w:val="center"/>
          </w:tcPr>
          <w:p>
            <w:pPr>
              <w:pStyle w:val="8"/>
              <w:rPr>
                <w:rFonts w:ascii="仿宋" w:hAnsi="仿宋" w:eastAsia="仿宋"/>
                <w:sz w:val="28"/>
                <w:szCs w:val="28"/>
              </w:rPr>
            </w:pPr>
            <w:r>
              <w:rPr>
                <w:rFonts w:ascii="仿宋" w:hAnsi="仿宋" w:eastAsia="仿宋"/>
                <w:sz w:val="28"/>
                <w:szCs w:val="28"/>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41</w:t>
            </w:r>
          </w:p>
        </w:tc>
        <w:tc>
          <w:tcPr>
            <w:tcW w:w="810"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103</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应缴财政款</w:t>
            </w:r>
          </w:p>
        </w:tc>
        <w:tc>
          <w:tcPr>
            <w:tcW w:w="1235" w:type="dxa"/>
            <w:vAlign w:val="center"/>
          </w:tcPr>
          <w:p>
            <w:pPr>
              <w:jc w:val="center"/>
              <w:rPr>
                <w:rFonts w:ascii="宋体" w:hAnsi="宋体" w:cs="宋体"/>
                <w:sz w:val="28"/>
                <w:szCs w:val="28"/>
              </w:rPr>
            </w:pPr>
            <w:r>
              <w:rPr>
                <w:rFonts w:hint="eastAsia" w:ascii="宋体" w:hAnsi="宋体" w:cs="宋体"/>
                <w:sz w:val="28"/>
                <w:szCs w:val="28"/>
              </w:rPr>
              <w:t>2101</w:t>
            </w:r>
          </w:p>
        </w:tc>
        <w:tc>
          <w:tcPr>
            <w:tcW w:w="3271" w:type="dxa"/>
            <w:vAlign w:val="center"/>
          </w:tcPr>
          <w:p>
            <w:pPr>
              <w:rPr>
                <w:rFonts w:ascii="仿宋" w:hAnsi="仿宋" w:eastAsia="仿宋"/>
                <w:sz w:val="28"/>
                <w:szCs w:val="28"/>
              </w:rPr>
            </w:pPr>
            <w:r>
              <w:rPr>
                <w:rFonts w:hint="eastAsia" w:ascii="仿宋" w:hAnsi="仿宋" w:eastAsia="仿宋"/>
                <w:sz w:val="28"/>
                <w:szCs w:val="28"/>
              </w:rPr>
              <w:t>应缴款项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42</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应付票据</w:t>
            </w:r>
          </w:p>
        </w:tc>
        <w:tc>
          <w:tcPr>
            <w:tcW w:w="1235" w:type="dxa"/>
            <w:vAlign w:val="center"/>
          </w:tcPr>
          <w:p>
            <w:pPr>
              <w:rPr>
                <w:rFonts w:ascii="仿宋" w:hAnsi="仿宋" w:eastAsia="仿宋" w:cs="宋体"/>
                <w:sz w:val="28"/>
                <w:szCs w:val="28"/>
              </w:rPr>
            </w:pPr>
            <w:r>
              <w:rPr>
                <w:rFonts w:hint="eastAsia" w:ascii="宋体" w:hAnsi="宋体" w:cs="宋体"/>
                <w:sz w:val="28"/>
                <w:szCs w:val="28"/>
              </w:rPr>
              <w:t> </w:t>
            </w:r>
            <w:r>
              <w:rPr>
                <w:rFonts w:ascii="仿宋" w:hAnsi="仿宋" w:eastAsia="仿宋"/>
                <w:sz w:val="28"/>
                <w:szCs w:val="28"/>
              </w:rPr>
              <w:t>2</w:t>
            </w:r>
            <w:r>
              <w:rPr>
                <w:rFonts w:hint="eastAsia" w:ascii="仿宋" w:hAnsi="仿宋" w:eastAsia="仿宋"/>
                <w:sz w:val="28"/>
                <w:szCs w:val="28"/>
              </w:rPr>
              <w:t>201</w:t>
            </w:r>
          </w:p>
        </w:tc>
        <w:tc>
          <w:tcPr>
            <w:tcW w:w="3271" w:type="dxa"/>
            <w:vAlign w:val="center"/>
          </w:tcPr>
          <w:p>
            <w:pPr>
              <w:rPr>
                <w:rFonts w:ascii="仿宋" w:hAnsi="仿宋" w:eastAsia="仿宋" w:cs="宋体"/>
                <w:sz w:val="28"/>
                <w:szCs w:val="28"/>
              </w:rPr>
            </w:pPr>
            <w:r>
              <w:rPr>
                <w:rFonts w:ascii="仿宋" w:hAnsi="仿宋" w:eastAsia="仿宋"/>
                <w:sz w:val="28"/>
                <w:szCs w:val="28"/>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43</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应付账款</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w:t>
            </w:r>
            <w:r>
              <w:rPr>
                <w:rFonts w:hint="eastAsia" w:ascii="仿宋" w:hAnsi="仿宋" w:eastAsia="仿宋"/>
                <w:sz w:val="28"/>
                <w:szCs w:val="28"/>
              </w:rPr>
              <w:t>202</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44</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05</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预收账款</w:t>
            </w:r>
          </w:p>
        </w:tc>
        <w:tc>
          <w:tcPr>
            <w:tcW w:w="1235" w:type="dxa"/>
            <w:vMerge w:val="continue"/>
            <w:vAlign w:val="center"/>
          </w:tcPr>
          <w:p>
            <w:pPr>
              <w:pStyle w:val="8"/>
              <w:rPr>
                <w:rFonts w:ascii="仿宋" w:hAnsi="仿宋" w:eastAsia="仿宋"/>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45</w:t>
            </w:r>
          </w:p>
        </w:tc>
        <w:tc>
          <w:tcPr>
            <w:tcW w:w="810" w:type="dxa"/>
            <w:vMerge w:val="restart"/>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Merge w:val="restart"/>
            <w:vAlign w:val="center"/>
          </w:tcPr>
          <w:p>
            <w:pPr>
              <w:rPr>
                <w:rFonts w:ascii="仿宋" w:hAnsi="仿宋" w:eastAsia="仿宋" w:cs="宋体"/>
                <w:sz w:val="28"/>
                <w:szCs w:val="28"/>
              </w:rPr>
            </w:pPr>
            <w:r>
              <w:rPr>
                <w:rFonts w:hint="eastAsia" w:ascii="仿宋" w:hAnsi="仿宋" w:eastAsia="仿宋" w:cs="宋体"/>
                <w:sz w:val="28"/>
                <w:szCs w:val="28"/>
              </w:rPr>
              <w:t>累计盈余</w:t>
            </w:r>
          </w:p>
        </w:tc>
        <w:tc>
          <w:tcPr>
            <w:tcW w:w="1235" w:type="dxa"/>
            <w:vAlign w:val="center"/>
          </w:tcPr>
          <w:p>
            <w:pPr>
              <w:pStyle w:val="8"/>
              <w:jc w:val="center"/>
              <w:rPr>
                <w:rFonts w:cs="宋体"/>
                <w:sz w:val="28"/>
                <w:szCs w:val="28"/>
              </w:rPr>
            </w:pPr>
            <w:r>
              <w:rPr>
                <w:rFonts w:hint="eastAsia" w:cs="宋体"/>
                <w:sz w:val="28"/>
                <w:szCs w:val="28"/>
              </w:rPr>
              <w:t>206</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专项应付款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46</w:t>
            </w:r>
          </w:p>
        </w:tc>
        <w:tc>
          <w:tcPr>
            <w:tcW w:w="810" w:type="dxa"/>
            <w:vMerge w:val="continue"/>
          </w:tcPr>
          <w:p>
            <w:pPr>
              <w:rPr>
                <w:rFonts w:ascii="仿宋" w:hAnsi="仿宋" w:eastAsia="仿宋" w:cs="宋体"/>
                <w:sz w:val="28"/>
                <w:szCs w:val="28"/>
              </w:rPr>
            </w:pPr>
          </w:p>
        </w:tc>
        <w:tc>
          <w:tcPr>
            <w:tcW w:w="2575" w:type="dxa"/>
            <w:vMerge w:val="continue"/>
          </w:tcPr>
          <w:p>
            <w:pPr>
              <w:rPr>
                <w:rFonts w:ascii="仿宋" w:hAnsi="仿宋" w:eastAsia="仿宋" w:cs="宋体"/>
                <w:sz w:val="28"/>
                <w:szCs w:val="28"/>
              </w:rPr>
            </w:pPr>
          </w:p>
        </w:tc>
        <w:tc>
          <w:tcPr>
            <w:tcW w:w="1235" w:type="dxa"/>
            <w:vAlign w:val="center"/>
          </w:tcPr>
          <w:p>
            <w:pPr>
              <w:pStyle w:val="8"/>
              <w:jc w:val="center"/>
              <w:rPr>
                <w:rFonts w:cs="宋体"/>
                <w:sz w:val="28"/>
                <w:szCs w:val="28"/>
              </w:rPr>
            </w:pPr>
            <w:r>
              <w:rPr>
                <w:rFonts w:hint="eastAsia" w:cs="宋体"/>
                <w:sz w:val="28"/>
                <w:szCs w:val="28"/>
              </w:rPr>
              <w:t>207</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拨入事业费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47</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3101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c>
          <w:tcPr>
            <w:tcW w:w="1235" w:type="dxa"/>
            <w:vAlign w:val="center"/>
          </w:tcPr>
          <w:p>
            <w:pPr>
              <w:pStyle w:val="8"/>
              <w:ind w:firstLine="280" w:firstLineChars="100"/>
              <w:rPr>
                <w:rFonts w:ascii="仿宋" w:hAnsi="仿宋" w:eastAsia="仿宋"/>
                <w:sz w:val="28"/>
                <w:szCs w:val="28"/>
              </w:rPr>
            </w:pPr>
            <w:r>
              <w:rPr>
                <w:rFonts w:hint="eastAsia" w:cs="宋体"/>
                <w:sz w:val="28"/>
                <w:szCs w:val="28"/>
              </w:rPr>
              <w:t>208</w:t>
            </w:r>
          </w:p>
        </w:tc>
        <w:tc>
          <w:tcPr>
            <w:tcW w:w="3271" w:type="dxa"/>
            <w:vAlign w:val="center"/>
          </w:tcPr>
          <w:p>
            <w:pPr>
              <w:pStyle w:val="8"/>
              <w:rPr>
                <w:rFonts w:ascii="仿宋" w:hAnsi="仿宋" w:eastAsia="仿宋" w:cs="宋体"/>
                <w:sz w:val="28"/>
                <w:szCs w:val="28"/>
              </w:rPr>
            </w:pPr>
            <w:r>
              <w:rPr>
                <w:rFonts w:hint="eastAsia" w:ascii="仿宋" w:hAnsi="仿宋" w:eastAsia="仿宋" w:cs="宋体"/>
                <w:sz w:val="28"/>
                <w:szCs w:val="28"/>
              </w:rPr>
              <w:t>育林基金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48</w:t>
            </w:r>
          </w:p>
        </w:tc>
        <w:tc>
          <w:tcPr>
            <w:tcW w:w="810"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应付职工薪酬</w:t>
            </w:r>
          </w:p>
        </w:tc>
        <w:tc>
          <w:tcPr>
            <w:tcW w:w="1235" w:type="dxa"/>
            <w:vAlign w:val="center"/>
          </w:tcPr>
          <w:p>
            <w:pPr>
              <w:pStyle w:val="8"/>
              <w:ind w:firstLine="280" w:firstLineChars="100"/>
              <w:rPr>
                <w:rFonts w:ascii="仿宋" w:hAnsi="仿宋" w:eastAsia="仿宋"/>
                <w:sz w:val="28"/>
                <w:szCs w:val="28"/>
              </w:rPr>
            </w:pPr>
            <w:r>
              <w:rPr>
                <w:rFonts w:hint="eastAsia" w:ascii="仿宋" w:hAnsi="仿宋" w:eastAsia="仿宋"/>
                <w:sz w:val="28"/>
                <w:szCs w:val="28"/>
              </w:rPr>
              <w:t>2204</w:t>
            </w:r>
          </w:p>
        </w:tc>
        <w:tc>
          <w:tcPr>
            <w:tcW w:w="3271" w:type="dxa"/>
            <w:vAlign w:val="center"/>
          </w:tcPr>
          <w:p>
            <w:pPr>
              <w:pStyle w:val="8"/>
              <w:rPr>
                <w:rFonts w:ascii="仿宋" w:hAnsi="仿宋" w:eastAsia="仿宋"/>
                <w:sz w:val="28"/>
                <w:szCs w:val="28"/>
              </w:rPr>
            </w:pPr>
            <w:r>
              <w:rPr>
                <w:rFonts w:hint="eastAsia" w:ascii="仿宋" w:hAnsi="仿宋" w:eastAsia="仿宋" w:cs="宋体"/>
                <w:sz w:val="28"/>
                <w:szCs w:val="28"/>
              </w:rPr>
              <w:t>应付职工薪酬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49</w:t>
            </w:r>
          </w:p>
        </w:tc>
        <w:tc>
          <w:tcPr>
            <w:tcW w:w="810"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应付职工薪酬</w:t>
            </w:r>
          </w:p>
        </w:tc>
        <w:tc>
          <w:tcPr>
            <w:tcW w:w="1235" w:type="dxa"/>
            <w:vAlign w:val="center"/>
          </w:tcPr>
          <w:p>
            <w:pPr>
              <w:pStyle w:val="8"/>
              <w:ind w:firstLine="280" w:firstLineChars="100"/>
              <w:rPr>
                <w:rFonts w:ascii="仿宋" w:hAnsi="仿宋" w:eastAsia="仿宋"/>
                <w:sz w:val="28"/>
                <w:szCs w:val="28"/>
              </w:rPr>
            </w:pPr>
            <w:r>
              <w:rPr>
                <w:rFonts w:hint="eastAsia" w:ascii="仿宋" w:hAnsi="仿宋" w:eastAsia="仿宋"/>
                <w:sz w:val="28"/>
                <w:szCs w:val="28"/>
              </w:rPr>
              <w:t>211</w:t>
            </w:r>
          </w:p>
        </w:tc>
        <w:tc>
          <w:tcPr>
            <w:tcW w:w="3271" w:type="dxa"/>
            <w:vAlign w:val="center"/>
          </w:tcPr>
          <w:p>
            <w:pPr>
              <w:pStyle w:val="8"/>
              <w:rPr>
                <w:rFonts w:ascii="仿宋" w:hAnsi="仿宋" w:eastAsia="仿宋" w:cs="宋体"/>
                <w:sz w:val="28"/>
                <w:szCs w:val="28"/>
              </w:rPr>
            </w:pPr>
            <w:r>
              <w:rPr>
                <w:rFonts w:hint="eastAsia" w:ascii="仿宋" w:hAnsi="仿宋" w:eastAsia="仿宋" w:cs="宋体"/>
                <w:sz w:val="28"/>
                <w:szCs w:val="28"/>
              </w:rPr>
              <w:t>应付工资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50</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累计盈余</w:t>
            </w:r>
          </w:p>
        </w:tc>
        <w:tc>
          <w:tcPr>
            <w:tcW w:w="1235" w:type="dxa"/>
            <w:vMerge w:val="restart"/>
            <w:vAlign w:val="center"/>
          </w:tcPr>
          <w:p>
            <w:pPr>
              <w:pStyle w:val="8"/>
              <w:ind w:firstLine="280" w:firstLineChars="100"/>
              <w:rPr>
                <w:rFonts w:ascii="仿宋" w:hAnsi="仿宋" w:eastAsia="仿宋"/>
                <w:sz w:val="28"/>
                <w:szCs w:val="28"/>
              </w:rPr>
            </w:pPr>
            <w:r>
              <w:rPr>
                <w:rFonts w:hint="eastAsia" w:ascii="仿宋" w:hAnsi="仿宋" w:eastAsia="仿宋"/>
                <w:sz w:val="28"/>
                <w:szCs w:val="28"/>
              </w:rPr>
              <w:t>214</w:t>
            </w:r>
          </w:p>
        </w:tc>
        <w:tc>
          <w:tcPr>
            <w:tcW w:w="3271" w:type="dxa"/>
            <w:vMerge w:val="restart"/>
            <w:vAlign w:val="center"/>
          </w:tcPr>
          <w:p>
            <w:pPr>
              <w:pStyle w:val="8"/>
              <w:rPr>
                <w:rFonts w:ascii="仿宋" w:hAnsi="仿宋" w:eastAsia="仿宋" w:cs="宋体"/>
                <w:sz w:val="28"/>
                <w:szCs w:val="28"/>
              </w:rPr>
            </w:pPr>
            <w:r>
              <w:rPr>
                <w:rFonts w:hint="eastAsia" w:ascii="仿宋" w:hAnsi="仿宋" w:eastAsia="仿宋" w:cs="宋体"/>
                <w:sz w:val="28"/>
                <w:szCs w:val="28"/>
              </w:rPr>
              <w:t>应付福利费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51</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3101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c>
          <w:tcPr>
            <w:tcW w:w="1235" w:type="dxa"/>
            <w:vMerge w:val="continue"/>
            <w:vAlign w:val="center"/>
          </w:tcPr>
          <w:p>
            <w:pPr>
              <w:pStyle w:val="8"/>
              <w:ind w:firstLine="280" w:firstLineChars="100"/>
              <w:rPr>
                <w:rFonts w:ascii="仿宋" w:hAnsi="仿宋" w:eastAsia="仿宋"/>
                <w:sz w:val="28"/>
                <w:szCs w:val="28"/>
              </w:rPr>
            </w:pPr>
          </w:p>
        </w:tc>
        <w:tc>
          <w:tcPr>
            <w:tcW w:w="3271" w:type="dxa"/>
            <w:vMerge w:val="continue"/>
            <w:vAlign w:val="center"/>
          </w:tcPr>
          <w:p>
            <w:pPr>
              <w:pStyle w:val="8"/>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75" w:type="dxa"/>
          </w:tcPr>
          <w:p>
            <w:pPr>
              <w:jc w:val="center"/>
              <w:rPr>
                <w:rFonts w:ascii="仿宋" w:hAnsi="仿宋" w:eastAsia="仿宋" w:cs="宋体"/>
                <w:sz w:val="28"/>
                <w:szCs w:val="28"/>
              </w:rPr>
            </w:pPr>
            <w:r>
              <w:rPr>
                <w:rFonts w:hint="eastAsia" w:ascii="仿宋" w:hAnsi="仿宋" w:eastAsia="仿宋" w:cs="宋体"/>
                <w:sz w:val="28"/>
                <w:szCs w:val="28"/>
              </w:rPr>
              <w:t>52</w:t>
            </w:r>
          </w:p>
        </w:tc>
        <w:tc>
          <w:tcPr>
            <w:tcW w:w="810"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307</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其他应付款</w:t>
            </w:r>
          </w:p>
        </w:tc>
        <w:tc>
          <w:tcPr>
            <w:tcW w:w="1235"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2</w:t>
            </w:r>
            <w:r>
              <w:rPr>
                <w:rFonts w:hint="eastAsia" w:ascii="仿宋" w:hAnsi="仿宋" w:eastAsia="仿宋"/>
                <w:sz w:val="28"/>
                <w:szCs w:val="28"/>
              </w:rPr>
              <w:t>207</w:t>
            </w:r>
          </w:p>
        </w:tc>
        <w:tc>
          <w:tcPr>
            <w:tcW w:w="3271" w:type="dxa"/>
            <w:vMerge w:val="restart"/>
            <w:vAlign w:val="center"/>
          </w:tcPr>
          <w:p>
            <w:pPr>
              <w:pStyle w:val="8"/>
              <w:jc w:val="both"/>
              <w:rPr>
                <w:rFonts w:ascii="仿宋" w:hAnsi="仿宋" w:eastAsia="仿宋"/>
                <w:sz w:val="28"/>
                <w:szCs w:val="28"/>
              </w:rPr>
            </w:pPr>
            <w:r>
              <w:rPr>
                <w:rFonts w:ascii="仿宋" w:hAnsi="仿宋" w:eastAsia="仿宋"/>
                <w:sz w:val="28"/>
                <w:szCs w:val="28"/>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53</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2201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应付职工薪酬</w:t>
            </w:r>
          </w:p>
        </w:tc>
        <w:tc>
          <w:tcPr>
            <w:tcW w:w="1235" w:type="dxa"/>
            <w:vMerge w:val="continue"/>
            <w:vAlign w:val="center"/>
          </w:tcPr>
          <w:p>
            <w:pPr>
              <w:pStyle w:val="8"/>
              <w:rPr>
                <w:rFonts w:ascii="仿宋" w:hAnsi="仿宋" w:eastAsia="仿宋"/>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Times New Roman"/>
                <w:sz w:val="28"/>
                <w:szCs w:val="28"/>
              </w:rPr>
              <w:t>54</w:t>
            </w:r>
          </w:p>
        </w:tc>
        <w:tc>
          <w:tcPr>
            <w:tcW w:w="810" w:type="dxa"/>
          </w:tcPr>
          <w:p>
            <w:pPr>
              <w:rPr>
                <w:rFonts w:ascii="仿宋" w:hAnsi="仿宋" w:eastAsia="仿宋" w:cs="宋体"/>
                <w:sz w:val="28"/>
                <w:szCs w:val="28"/>
              </w:rPr>
            </w:pPr>
            <w:r>
              <w:rPr>
                <w:rFonts w:ascii="仿宋" w:hAnsi="仿宋" w:eastAsia="仿宋" w:cs="宋体"/>
                <w:sz w:val="28"/>
                <w:szCs w:val="28"/>
              </w:rPr>
              <w:t>2901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受托代理负债</w:t>
            </w:r>
          </w:p>
        </w:tc>
        <w:tc>
          <w:tcPr>
            <w:tcW w:w="1235" w:type="dxa"/>
            <w:vMerge w:val="continue"/>
            <w:vAlign w:val="center"/>
          </w:tcPr>
          <w:p>
            <w:pPr>
              <w:pStyle w:val="8"/>
              <w:rPr>
                <w:rFonts w:ascii="仿宋" w:hAnsi="仿宋" w:eastAsia="仿宋"/>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宋体"/>
                <w:sz w:val="28"/>
                <w:szCs w:val="28"/>
              </w:rPr>
              <w:t>55</w:t>
            </w:r>
          </w:p>
        </w:tc>
        <w:tc>
          <w:tcPr>
            <w:tcW w:w="810" w:type="dxa"/>
          </w:tcPr>
          <w:p>
            <w:pPr>
              <w:rPr>
                <w:rFonts w:ascii="仿宋" w:hAnsi="仿宋" w:eastAsia="仿宋" w:cs="宋体"/>
                <w:sz w:val="28"/>
                <w:szCs w:val="28"/>
              </w:rPr>
            </w:pPr>
            <w:r>
              <w:rPr>
                <w:rFonts w:ascii="仿宋" w:hAnsi="仿宋" w:eastAsia="仿宋" w:cs="宋体"/>
                <w:sz w:val="28"/>
                <w:szCs w:val="28"/>
              </w:rPr>
              <w:t>2101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应交增值税</w:t>
            </w:r>
          </w:p>
        </w:tc>
        <w:tc>
          <w:tcPr>
            <w:tcW w:w="1235"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22</w:t>
            </w:r>
            <w:r>
              <w:rPr>
                <w:rFonts w:hint="eastAsia" w:ascii="仿宋" w:hAnsi="仿宋" w:eastAsia="仿宋"/>
                <w:sz w:val="28"/>
                <w:szCs w:val="28"/>
              </w:rPr>
              <w:t>06</w:t>
            </w:r>
          </w:p>
        </w:tc>
        <w:tc>
          <w:tcPr>
            <w:tcW w:w="3271" w:type="dxa"/>
            <w:vMerge w:val="restart"/>
            <w:vAlign w:val="center"/>
          </w:tcPr>
          <w:p>
            <w:pPr>
              <w:pStyle w:val="8"/>
              <w:jc w:val="both"/>
              <w:rPr>
                <w:rFonts w:ascii="仿宋" w:hAnsi="仿宋" w:eastAsia="仿宋"/>
                <w:sz w:val="28"/>
                <w:szCs w:val="28"/>
              </w:rPr>
            </w:pPr>
            <w:r>
              <w:rPr>
                <w:rFonts w:ascii="仿宋" w:hAnsi="仿宋" w:eastAsia="仿宋"/>
                <w:sz w:val="28"/>
                <w:szCs w:val="28"/>
              </w:rPr>
              <w:t>应交税金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宋体"/>
                <w:sz w:val="28"/>
                <w:szCs w:val="28"/>
              </w:rPr>
              <w:t>56</w:t>
            </w:r>
          </w:p>
        </w:tc>
        <w:tc>
          <w:tcPr>
            <w:tcW w:w="810" w:type="dxa"/>
          </w:tcPr>
          <w:p>
            <w:pPr>
              <w:rPr>
                <w:rFonts w:ascii="仿宋" w:hAnsi="仿宋" w:eastAsia="仿宋" w:cs="宋体"/>
                <w:sz w:val="28"/>
                <w:szCs w:val="28"/>
              </w:rPr>
            </w:pPr>
            <w:r>
              <w:rPr>
                <w:rFonts w:ascii="仿宋" w:hAnsi="仿宋" w:eastAsia="仿宋" w:cs="宋体"/>
                <w:sz w:val="28"/>
                <w:szCs w:val="28"/>
              </w:rPr>
              <w:t>2102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其他应交税费</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57</w:t>
            </w:r>
          </w:p>
        </w:tc>
        <w:tc>
          <w:tcPr>
            <w:tcW w:w="810" w:type="dxa"/>
          </w:tcPr>
          <w:p>
            <w:pPr>
              <w:rPr>
                <w:rFonts w:ascii="仿宋" w:hAnsi="仿宋" w:eastAsia="仿宋" w:cs="宋体"/>
                <w:sz w:val="28"/>
                <w:szCs w:val="28"/>
              </w:rPr>
            </w:pPr>
            <w:r>
              <w:rPr>
                <w:rFonts w:hint="eastAsia" w:ascii="仿宋" w:hAnsi="仿宋" w:eastAsia="仿宋" w:cs="宋体"/>
                <w:sz w:val="28"/>
                <w:szCs w:val="28"/>
              </w:rPr>
              <w:t>2304</w:t>
            </w:r>
          </w:p>
        </w:tc>
        <w:tc>
          <w:tcPr>
            <w:tcW w:w="2575" w:type="dxa"/>
          </w:tcPr>
          <w:p>
            <w:pPr>
              <w:rPr>
                <w:rFonts w:ascii="仿宋" w:hAnsi="仿宋" w:eastAsia="仿宋" w:cs="宋体"/>
                <w:sz w:val="28"/>
                <w:szCs w:val="28"/>
              </w:rPr>
            </w:pPr>
            <w:r>
              <w:rPr>
                <w:rFonts w:hint="eastAsia" w:ascii="仿宋" w:hAnsi="仿宋" w:eastAsia="仿宋" w:cs="宋体"/>
                <w:sz w:val="28"/>
                <w:szCs w:val="28"/>
              </w:rPr>
              <w:t>应付利息</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w:t>
            </w:r>
            <w:r>
              <w:rPr>
                <w:rFonts w:hint="eastAsia" w:ascii="仿宋" w:hAnsi="仿宋" w:eastAsia="仿宋"/>
                <w:sz w:val="28"/>
                <w:szCs w:val="28"/>
              </w:rPr>
              <w:t>209</w:t>
            </w:r>
          </w:p>
        </w:tc>
        <w:tc>
          <w:tcPr>
            <w:tcW w:w="3271" w:type="dxa"/>
            <w:vMerge w:val="restart"/>
            <w:vAlign w:val="center"/>
          </w:tcPr>
          <w:p>
            <w:pPr>
              <w:pStyle w:val="8"/>
              <w:rPr>
                <w:rFonts w:ascii="仿宋" w:hAnsi="仿宋" w:eastAsia="仿宋"/>
                <w:sz w:val="28"/>
                <w:szCs w:val="28"/>
              </w:rPr>
            </w:pPr>
            <w:r>
              <w:rPr>
                <w:rFonts w:ascii="仿宋" w:hAnsi="仿宋" w:eastAsia="仿宋"/>
                <w:sz w:val="28"/>
                <w:szCs w:val="28"/>
              </w:rPr>
              <w:t>预提费用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58</w:t>
            </w:r>
          </w:p>
        </w:tc>
        <w:tc>
          <w:tcPr>
            <w:tcW w:w="810" w:type="dxa"/>
          </w:tcPr>
          <w:p>
            <w:pPr>
              <w:rPr>
                <w:rFonts w:ascii="仿宋" w:hAnsi="仿宋" w:eastAsia="仿宋" w:cs="宋体"/>
                <w:sz w:val="28"/>
                <w:szCs w:val="28"/>
              </w:rPr>
            </w:pPr>
            <w:r>
              <w:rPr>
                <w:rFonts w:hint="eastAsia" w:ascii="仿宋" w:hAnsi="仿宋" w:eastAsia="仿宋" w:cs="宋体"/>
                <w:sz w:val="28"/>
                <w:szCs w:val="28"/>
              </w:rPr>
              <w:t>2401</w:t>
            </w:r>
          </w:p>
        </w:tc>
        <w:tc>
          <w:tcPr>
            <w:tcW w:w="2575" w:type="dxa"/>
          </w:tcPr>
          <w:p>
            <w:pPr>
              <w:rPr>
                <w:rFonts w:ascii="仿宋" w:hAnsi="仿宋" w:eastAsia="仿宋" w:cs="宋体"/>
                <w:sz w:val="28"/>
                <w:szCs w:val="28"/>
              </w:rPr>
            </w:pPr>
            <w:r>
              <w:rPr>
                <w:rFonts w:hint="eastAsia" w:ascii="仿宋" w:hAnsi="仿宋" w:eastAsia="仿宋" w:cs="宋体"/>
                <w:sz w:val="28"/>
                <w:szCs w:val="28"/>
              </w:rPr>
              <w:t>预提费用</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59</w:t>
            </w:r>
          </w:p>
        </w:tc>
        <w:tc>
          <w:tcPr>
            <w:tcW w:w="810" w:type="dxa"/>
          </w:tcPr>
          <w:p>
            <w:pPr>
              <w:rPr>
                <w:rFonts w:ascii="仿宋" w:hAnsi="仿宋" w:eastAsia="仿宋" w:cs="宋体"/>
                <w:sz w:val="28"/>
                <w:szCs w:val="28"/>
              </w:rPr>
            </w:pPr>
            <w:r>
              <w:rPr>
                <w:rFonts w:hint="eastAsia" w:ascii="仿宋" w:hAnsi="仿宋" w:eastAsia="仿宋" w:cs="宋体"/>
                <w:sz w:val="28"/>
                <w:szCs w:val="28"/>
              </w:rPr>
              <w:t>2103</w:t>
            </w:r>
          </w:p>
        </w:tc>
        <w:tc>
          <w:tcPr>
            <w:tcW w:w="2575" w:type="dxa"/>
          </w:tcPr>
          <w:p>
            <w:pPr>
              <w:rPr>
                <w:rFonts w:ascii="仿宋" w:hAnsi="仿宋" w:eastAsia="仿宋" w:cs="宋体"/>
                <w:sz w:val="28"/>
                <w:szCs w:val="28"/>
              </w:rPr>
            </w:pPr>
            <w:r>
              <w:rPr>
                <w:rFonts w:hint="eastAsia" w:ascii="仿宋" w:hAnsi="仿宋" w:eastAsia="仿宋" w:cs="宋体"/>
                <w:sz w:val="28"/>
                <w:szCs w:val="28"/>
              </w:rPr>
              <w:t>应缴财政款</w:t>
            </w:r>
          </w:p>
        </w:tc>
        <w:tc>
          <w:tcPr>
            <w:tcW w:w="1235" w:type="dxa"/>
            <w:vMerge w:val="restart"/>
            <w:vAlign w:val="center"/>
          </w:tcPr>
          <w:p>
            <w:pPr>
              <w:ind w:firstLine="280" w:firstLineChars="100"/>
              <w:rPr>
                <w:rFonts w:ascii="仿宋" w:hAnsi="仿宋" w:eastAsia="仿宋"/>
                <w:sz w:val="28"/>
                <w:szCs w:val="28"/>
              </w:rPr>
            </w:pPr>
            <w:r>
              <w:rPr>
                <w:rFonts w:hint="eastAsia" w:ascii="仿宋" w:hAnsi="仿宋" w:eastAsia="仿宋"/>
                <w:sz w:val="28"/>
                <w:szCs w:val="28"/>
              </w:rPr>
              <w:t>222</w:t>
            </w:r>
          </w:p>
        </w:tc>
        <w:tc>
          <w:tcPr>
            <w:tcW w:w="3271" w:type="dxa"/>
            <w:vMerge w:val="restart"/>
            <w:vAlign w:val="center"/>
          </w:tcPr>
          <w:p>
            <w:pPr>
              <w:rPr>
                <w:rFonts w:ascii="仿宋" w:hAnsi="仿宋" w:eastAsia="仿宋"/>
                <w:sz w:val="28"/>
                <w:szCs w:val="28"/>
              </w:rPr>
            </w:pPr>
            <w:r>
              <w:rPr>
                <w:rFonts w:hint="eastAsia" w:ascii="仿宋" w:hAnsi="仿宋" w:eastAsia="仿宋"/>
                <w:sz w:val="28"/>
                <w:szCs w:val="28"/>
              </w:rPr>
              <w:t>其他应交款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60</w:t>
            </w:r>
          </w:p>
        </w:tc>
        <w:tc>
          <w:tcPr>
            <w:tcW w:w="810" w:type="dxa"/>
          </w:tcPr>
          <w:p>
            <w:pPr>
              <w:rPr>
                <w:rFonts w:ascii="仿宋" w:hAnsi="仿宋" w:eastAsia="仿宋" w:cs="宋体"/>
                <w:sz w:val="28"/>
                <w:szCs w:val="28"/>
              </w:rPr>
            </w:pPr>
            <w:r>
              <w:rPr>
                <w:rFonts w:hint="eastAsia" w:ascii="仿宋" w:hAnsi="仿宋" w:eastAsia="仿宋" w:cs="宋体"/>
                <w:sz w:val="28"/>
                <w:szCs w:val="28"/>
              </w:rPr>
              <w:t>2102</w:t>
            </w:r>
          </w:p>
        </w:tc>
        <w:tc>
          <w:tcPr>
            <w:tcW w:w="2575" w:type="dxa"/>
          </w:tcPr>
          <w:p>
            <w:pPr>
              <w:rPr>
                <w:rFonts w:ascii="仿宋" w:hAnsi="仿宋" w:eastAsia="仿宋" w:cs="宋体"/>
                <w:sz w:val="28"/>
                <w:szCs w:val="28"/>
              </w:rPr>
            </w:pPr>
            <w:r>
              <w:rPr>
                <w:rFonts w:hint="eastAsia" w:ascii="仿宋" w:hAnsi="仿宋" w:eastAsia="仿宋" w:cs="宋体"/>
                <w:sz w:val="28"/>
                <w:szCs w:val="28"/>
              </w:rPr>
              <w:t>其他应交税费</w:t>
            </w:r>
          </w:p>
        </w:tc>
        <w:tc>
          <w:tcPr>
            <w:tcW w:w="1235" w:type="dxa"/>
            <w:vMerge w:val="continue"/>
            <w:vAlign w:val="center"/>
          </w:tcPr>
          <w:p>
            <w:pPr>
              <w:ind w:firstLine="280" w:firstLineChars="100"/>
              <w:rPr>
                <w:rFonts w:ascii="仿宋" w:hAnsi="仿宋" w:eastAsia="仿宋"/>
                <w:sz w:val="28"/>
                <w:szCs w:val="28"/>
              </w:rPr>
            </w:pPr>
          </w:p>
        </w:tc>
        <w:tc>
          <w:tcPr>
            <w:tcW w:w="3271" w:type="dxa"/>
            <w:vMerge w:val="continue"/>
            <w:vAlign w:val="center"/>
          </w:tcPr>
          <w:p>
            <w:pPr>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61</w:t>
            </w:r>
          </w:p>
        </w:tc>
        <w:tc>
          <w:tcPr>
            <w:tcW w:w="810" w:type="dxa"/>
          </w:tcPr>
          <w:p>
            <w:pPr>
              <w:rPr>
                <w:rFonts w:ascii="仿宋" w:hAnsi="仿宋" w:eastAsia="仿宋" w:cs="宋体"/>
                <w:sz w:val="28"/>
                <w:szCs w:val="28"/>
              </w:rPr>
            </w:pPr>
            <w:r>
              <w:rPr>
                <w:rFonts w:hint="eastAsia" w:ascii="仿宋" w:hAnsi="仿宋" w:eastAsia="仿宋" w:cs="宋体"/>
                <w:sz w:val="28"/>
                <w:szCs w:val="28"/>
              </w:rPr>
              <w:t>2307</w:t>
            </w:r>
          </w:p>
        </w:tc>
        <w:tc>
          <w:tcPr>
            <w:tcW w:w="2575" w:type="dxa"/>
          </w:tcPr>
          <w:p>
            <w:pPr>
              <w:rPr>
                <w:rFonts w:ascii="仿宋" w:hAnsi="仿宋" w:eastAsia="仿宋" w:cs="宋体"/>
                <w:sz w:val="28"/>
                <w:szCs w:val="28"/>
              </w:rPr>
            </w:pPr>
            <w:r>
              <w:rPr>
                <w:rFonts w:hint="eastAsia" w:ascii="仿宋" w:hAnsi="仿宋" w:eastAsia="仿宋" w:cs="宋体"/>
                <w:sz w:val="28"/>
                <w:szCs w:val="28"/>
              </w:rPr>
              <w:t>其他应付款</w:t>
            </w:r>
          </w:p>
        </w:tc>
        <w:tc>
          <w:tcPr>
            <w:tcW w:w="1235" w:type="dxa"/>
            <w:vMerge w:val="continue"/>
            <w:vAlign w:val="center"/>
          </w:tcPr>
          <w:p>
            <w:pPr>
              <w:ind w:firstLine="280" w:firstLineChars="100"/>
              <w:rPr>
                <w:rFonts w:ascii="仿宋" w:hAnsi="仿宋" w:eastAsia="仿宋"/>
                <w:sz w:val="28"/>
                <w:szCs w:val="28"/>
              </w:rPr>
            </w:pPr>
          </w:p>
        </w:tc>
        <w:tc>
          <w:tcPr>
            <w:tcW w:w="3271" w:type="dxa"/>
            <w:vMerge w:val="continue"/>
            <w:vAlign w:val="center"/>
          </w:tcPr>
          <w:p>
            <w:pPr>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62</w:t>
            </w:r>
          </w:p>
        </w:tc>
        <w:tc>
          <w:tcPr>
            <w:tcW w:w="810" w:type="dxa"/>
          </w:tcPr>
          <w:p>
            <w:pPr>
              <w:rPr>
                <w:rFonts w:ascii="仿宋" w:hAnsi="仿宋" w:eastAsia="仿宋" w:cs="宋体"/>
                <w:sz w:val="28"/>
                <w:szCs w:val="28"/>
              </w:rPr>
            </w:pPr>
            <w:r>
              <w:rPr>
                <w:rFonts w:hint="eastAsia" w:ascii="仿宋" w:hAnsi="仿宋" w:eastAsia="仿宋" w:cs="宋体"/>
                <w:sz w:val="28"/>
                <w:szCs w:val="28"/>
              </w:rPr>
              <w:t>2501</w:t>
            </w:r>
          </w:p>
        </w:tc>
        <w:tc>
          <w:tcPr>
            <w:tcW w:w="2575" w:type="dxa"/>
          </w:tcPr>
          <w:p>
            <w:pPr>
              <w:rPr>
                <w:rFonts w:ascii="仿宋" w:hAnsi="仿宋" w:eastAsia="仿宋" w:cs="宋体"/>
                <w:sz w:val="28"/>
                <w:szCs w:val="28"/>
              </w:rPr>
            </w:pPr>
            <w:r>
              <w:rPr>
                <w:rFonts w:hint="eastAsia" w:ascii="仿宋" w:hAnsi="仿宋" w:eastAsia="仿宋" w:cs="宋体"/>
                <w:sz w:val="28"/>
                <w:szCs w:val="28"/>
              </w:rPr>
              <w:t>长期借款</w:t>
            </w:r>
          </w:p>
        </w:tc>
        <w:tc>
          <w:tcPr>
            <w:tcW w:w="1235" w:type="dxa"/>
            <w:vMerge w:val="restart"/>
            <w:vAlign w:val="center"/>
          </w:tcPr>
          <w:p>
            <w:pPr>
              <w:ind w:firstLine="280" w:firstLineChars="100"/>
              <w:rPr>
                <w:rFonts w:ascii="仿宋" w:hAnsi="仿宋" w:eastAsia="仿宋" w:cs="宋体"/>
                <w:sz w:val="28"/>
                <w:szCs w:val="28"/>
              </w:rPr>
            </w:pPr>
            <w:r>
              <w:rPr>
                <w:rFonts w:ascii="仿宋" w:hAnsi="仿宋" w:eastAsia="仿宋"/>
                <w:sz w:val="28"/>
                <w:szCs w:val="28"/>
              </w:rPr>
              <w:t>2</w:t>
            </w:r>
            <w:r>
              <w:rPr>
                <w:rFonts w:hint="eastAsia" w:ascii="仿宋" w:hAnsi="仿宋" w:eastAsia="仿宋"/>
                <w:sz w:val="28"/>
                <w:szCs w:val="28"/>
              </w:rPr>
              <w:t>30</w:t>
            </w:r>
            <w:r>
              <w:rPr>
                <w:rFonts w:ascii="仿宋" w:hAnsi="仿宋" w:eastAsia="仿宋"/>
                <w:sz w:val="28"/>
                <w:szCs w:val="28"/>
              </w:rPr>
              <w:t>1</w:t>
            </w:r>
          </w:p>
        </w:tc>
        <w:tc>
          <w:tcPr>
            <w:tcW w:w="3271" w:type="dxa"/>
            <w:vMerge w:val="restart"/>
            <w:vAlign w:val="center"/>
          </w:tcPr>
          <w:p>
            <w:pPr>
              <w:rPr>
                <w:rFonts w:ascii="仿宋" w:hAnsi="仿宋" w:eastAsia="仿宋" w:cs="宋体"/>
                <w:sz w:val="28"/>
                <w:szCs w:val="28"/>
              </w:rPr>
            </w:pPr>
            <w:r>
              <w:rPr>
                <w:rFonts w:ascii="仿宋" w:hAnsi="仿宋" w:eastAsia="仿宋"/>
                <w:sz w:val="28"/>
                <w:szCs w:val="28"/>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63</w:t>
            </w:r>
          </w:p>
        </w:tc>
        <w:tc>
          <w:tcPr>
            <w:tcW w:w="810" w:type="dxa"/>
          </w:tcPr>
          <w:p>
            <w:pPr>
              <w:rPr>
                <w:rFonts w:ascii="仿宋" w:hAnsi="仿宋" w:eastAsia="仿宋" w:cs="宋体"/>
                <w:sz w:val="28"/>
                <w:szCs w:val="28"/>
              </w:rPr>
            </w:pPr>
            <w:r>
              <w:rPr>
                <w:rFonts w:hint="eastAsia" w:ascii="仿宋" w:hAnsi="仿宋" w:eastAsia="仿宋" w:cs="宋体"/>
                <w:sz w:val="28"/>
                <w:szCs w:val="28"/>
              </w:rPr>
              <w:t>2304</w:t>
            </w:r>
          </w:p>
        </w:tc>
        <w:tc>
          <w:tcPr>
            <w:tcW w:w="2575" w:type="dxa"/>
          </w:tcPr>
          <w:p>
            <w:pPr>
              <w:rPr>
                <w:rFonts w:ascii="仿宋" w:hAnsi="仿宋" w:eastAsia="仿宋" w:cs="宋体"/>
                <w:sz w:val="28"/>
                <w:szCs w:val="28"/>
              </w:rPr>
            </w:pPr>
            <w:r>
              <w:rPr>
                <w:rFonts w:hint="eastAsia" w:ascii="仿宋" w:hAnsi="仿宋" w:eastAsia="仿宋" w:cs="宋体"/>
                <w:sz w:val="28"/>
                <w:szCs w:val="28"/>
              </w:rPr>
              <w:t>应付利息</w:t>
            </w:r>
          </w:p>
        </w:tc>
        <w:tc>
          <w:tcPr>
            <w:tcW w:w="1235" w:type="dxa"/>
            <w:vMerge w:val="continue"/>
            <w:vAlign w:val="center"/>
          </w:tcPr>
          <w:p>
            <w:pPr>
              <w:ind w:firstLine="280" w:firstLineChars="100"/>
              <w:rPr>
                <w:rFonts w:ascii="仿宋" w:hAnsi="仿宋" w:eastAsia="仿宋"/>
                <w:b/>
                <w:sz w:val="28"/>
                <w:szCs w:val="28"/>
              </w:rPr>
            </w:pPr>
          </w:p>
        </w:tc>
        <w:tc>
          <w:tcPr>
            <w:tcW w:w="3271" w:type="dxa"/>
            <w:vMerge w:val="continue"/>
            <w:vAlign w:val="center"/>
          </w:tcPr>
          <w:p>
            <w:pPr>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64</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5</w:t>
            </w:r>
            <w:r>
              <w:rPr>
                <w:rFonts w:ascii="仿宋" w:hAnsi="仿宋" w:eastAsia="仿宋" w:cs="宋体"/>
                <w:sz w:val="28"/>
                <w:szCs w:val="28"/>
              </w:rPr>
              <w:t>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长期应付款</w:t>
            </w:r>
          </w:p>
        </w:tc>
        <w:tc>
          <w:tcPr>
            <w:tcW w:w="1235" w:type="dxa"/>
            <w:vAlign w:val="center"/>
          </w:tcPr>
          <w:p>
            <w:pPr>
              <w:pStyle w:val="8"/>
              <w:ind w:firstLine="280" w:firstLineChars="100"/>
              <w:rPr>
                <w:rFonts w:ascii="仿宋" w:hAnsi="仿宋" w:eastAsia="仿宋"/>
                <w:sz w:val="28"/>
                <w:szCs w:val="28"/>
              </w:rPr>
            </w:pPr>
            <w:r>
              <w:rPr>
                <w:rFonts w:hint="eastAsia" w:cs="宋体"/>
                <w:sz w:val="28"/>
                <w:szCs w:val="28"/>
              </w:rPr>
              <w:t>2241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住房周转金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Times New Roman"/>
                <w:sz w:val="28"/>
                <w:szCs w:val="28"/>
              </w:rPr>
            </w:pPr>
            <w:r>
              <w:rPr>
                <w:rFonts w:hint="eastAsia" w:ascii="仿宋" w:hAnsi="仿宋" w:eastAsia="仿宋" w:cs="Times New Roman"/>
                <w:sz w:val="28"/>
                <w:szCs w:val="28"/>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65</w:t>
            </w:r>
          </w:p>
        </w:tc>
        <w:tc>
          <w:tcPr>
            <w:tcW w:w="810" w:type="dxa"/>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1235" w:type="dxa"/>
            <w:vAlign w:val="center"/>
          </w:tcPr>
          <w:p>
            <w:pPr>
              <w:pStyle w:val="8"/>
              <w:jc w:val="center"/>
              <w:rPr>
                <w:rFonts w:cs="宋体"/>
                <w:sz w:val="28"/>
                <w:szCs w:val="28"/>
              </w:rPr>
            </w:pPr>
            <w:r>
              <w:rPr>
                <w:rFonts w:hint="eastAsia" w:cs="宋体"/>
                <w:sz w:val="28"/>
                <w:szCs w:val="28"/>
              </w:rPr>
              <w:t>3001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事业</w:t>
            </w:r>
            <w:r>
              <w:rPr>
                <w:rFonts w:ascii="仿宋" w:hAnsi="仿宋" w:eastAsia="仿宋"/>
                <w:sz w:val="28"/>
                <w:szCs w:val="28"/>
              </w:rPr>
              <w:t>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Times New Roman"/>
                <w:sz w:val="28"/>
                <w:szCs w:val="28"/>
              </w:rPr>
              <w:t>66</w:t>
            </w:r>
          </w:p>
        </w:tc>
        <w:tc>
          <w:tcPr>
            <w:tcW w:w="810" w:type="dxa"/>
          </w:tcPr>
          <w:p>
            <w:pPr>
              <w:rPr>
                <w:rFonts w:ascii="仿宋" w:hAnsi="仿宋" w:eastAsia="仿宋" w:cs="Times New Roman"/>
                <w:sz w:val="28"/>
                <w:szCs w:val="28"/>
              </w:rPr>
            </w:pPr>
            <w:r>
              <w:rPr>
                <w:rFonts w:hint="eastAsia" w:ascii="仿宋" w:hAnsi="仿宋" w:eastAsia="仿宋" w:cs="Times New Roman"/>
                <w:sz w:val="28"/>
                <w:szCs w:val="28"/>
              </w:rPr>
              <w:t>3101</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专用基金</w:t>
            </w:r>
          </w:p>
        </w:tc>
        <w:tc>
          <w:tcPr>
            <w:tcW w:w="1235" w:type="dxa"/>
            <w:vAlign w:val="center"/>
          </w:tcPr>
          <w:p>
            <w:pPr>
              <w:pStyle w:val="8"/>
              <w:jc w:val="center"/>
              <w:rPr>
                <w:rFonts w:cs="宋体"/>
                <w:sz w:val="28"/>
                <w:szCs w:val="28"/>
              </w:rPr>
            </w:pPr>
            <w:r>
              <w:rPr>
                <w:rFonts w:hint="eastAsia" w:cs="宋体"/>
                <w:sz w:val="28"/>
                <w:szCs w:val="28"/>
              </w:rPr>
              <w:t>3101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Times New Roman"/>
                <w:sz w:val="28"/>
                <w:szCs w:val="28"/>
              </w:rPr>
              <w:t>67</w:t>
            </w:r>
          </w:p>
        </w:tc>
        <w:tc>
          <w:tcPr>
            <w:tcW w:w="810" w:type="dxa"/>
            <w:vMerge w:val="restart"/>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w:t>
            </w:r>
            <w:r>
              <w:rPr>
                <w:rFonts w:hint="eastAsia" w:ascii="仿宋" w:hAnsi="仿宋" w:eastAsia="仿宋"/>
                <w:sz w:val="28"/>
                <w:szCs w:val="28"/>
              </w:rPr>
              <w:t>02</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林木资本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68</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235"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w:t>
            </w:r>
            <w:r>
              <w:rPr>
                <w:rFonts w:hint="eastAsia" w:ascii="仿宋" w:hAnsi="仿宋" w:eastAsia="仿宋"/>
                <w:sz w:val="28"/>
                <w:szCs w:val="28"/>
              </w:rPr>
              <w:t>401</w:t>
            </w:r>
          </w:p>
        </w:tc>
        <w:tc>
          <w:tcPr>
            <w:tcW w:w="3271" w:type="dxa"/>
            <w:vAlign w:val="center"/>
          </w:tcPr>
          <w:p>
            <w:pPr>
              <w:pStyle w:val="8"/>
              <w:rPr>
                <w:rFonts w:ascii="仿宋" w:hAnsi="仿宋" w:eastAsia="仿宋"/>
                <w:sz w:val="28"/>
                <w:szCs w:val="28"/>
              </w:rPr>
            </w:pPr>
            <w:r>
              <w:rPr>
                <w:rFonts w:hint="eastAsia" w:ascii="仿宋" w:hAnsi="仿宋" w:eastAsia="仿宋"/>
                <w:sz w:val="28"/>
                <w:szCs w:val="28"/>
              </w:rPr>
              <w:t>财政补助结转（余）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69</w:t>
            </w:r>
          </w:p>
        </w:tc>
        <w:tc>
          <w:tcPr>
            <w:tcW w:w="810" w:type="dxa"/>
            <w:vMerge w:val="restart"/>
            <w:vAlign w:val="center"/>
          </w:tcPr>
          <w:p>
            <w:pPr>
              <w:rPr>
                <w:rFonts w:ascii="仿宋" w:hAnsi="仿宋" w:eastAsia="仿宋" w:cs="Times New Roman"/>
                <w:sz w:val="28"/>
                <w:szCs w:val="28"/>
              </w:rPr>
            </w:pPr>
            <w:r>
              <w:rPr>
                <w:rFonts w:hint="eastAsia" w:ascii="仿宋" w:hAnsi="仿宋" w:eastAsia="仿宋" w:cs="Times New Roman"/>
                <w:sz w:val="28"/>
                <w:szCs w:val="28"/>
              </w:rPr>
              <w:t>3001</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Times New Roman"/>
                <w:sz w:val="28"/>
                <w:szCs w:val="28"/>
              </w:rPr>
              <w:t>累计盈余</w:t>
            </w:r>
          </w:p>
        </w:tc>
        <w:tc>
          <w:tcPr>
            <w:tcW w:w="1235" w:type="dxa"/>
            <w:vAlign w:val="bottom"/>
          </w:tcPr>
          <w:p>
            <w:pPr>
              <w:jc w:val="center"/>
              <w:rPr>
                <w:rFonts w:ascii="仿宋" w:hAnsi="仿宋" w:eastAsia="仿宋" w:cs="Times New Roman"/>
                <w:sz w:val="28"/>
                <w:szCs w:val="28"/>
              </w:rPr>
            </w:pPr>
            <w:r>
              <w:rPr>
                <w:rFonts w:hint="eastAsia" w:ascii="仿宋" w:hAnsi="仿宋" w:eastAsia="仿宋" w:cs="Times New Roman"/>
                <w:sz w:val="28"/>
                <w:szCs w:val="28"/>
              </w:rPr>
              <w:t>301</w:t>
            </w:r>
          </w:p>
        </w:tc>
        <w:tc>
          <w:tcPr>
            <w:tcW w:w="3271" w:type="dxa"/>
            <w:vAlign w:val="bottom"/>
          </w:tcPr>
          <w:p>
            <w:pPr>
              <w:rPr>
                <w:rFonts w:ascii="仿宋" w:hAnsi="仿宋" w:eastAsia="仿宋" w:cs="Times New Roman"/>
                <w:sz w:val="28"/>
                <w:szCs w:val="28"/>
              </w:rPr>
            </w:pPr>
            <w:r>
              <w:rPr>
                <w:rFonts w:hint="eastAsia" w:ascii="仿宋" w:hAnsi="仿宋" w:eastAsia="仿宋" w:cs="Times New Roman"/>
                <w:sz w:val="28"/>
                <w:szCs w:val="28"/>
              </w:rPr>
              <w:t>实收资本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70</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235" w:type="dxa"/>
            <w:vAlign w:val="bottom"/>
          </w:tcPr>
          <w:p>
            <w:pPr>
              <w:jc w:val="center"/>
              <w:rPr>
                <w:rFonts w:ascii="仿宋" w:hAnsi="仿宋" w:eastAsia="仿宋" w:cs="Times New Roman"/>
                <w:sz w:val="28"/>
                <w:szCs w:val="28"/>
              </w:rPr>
            </w:pPr>
            <w:r>
              <w:rPr>
                <w:rFonts w:hint="eastAsia" w:ascii="仿宋" w:hAnsi="仿宋" w:eastAsia="仿宋" w:cs="Times New Roman"/>
                <w:sz w:val="28"/>
                <w:szCs w:val="28"/>
              </w:rPr>
              <w:t>311</w:t>
            </w:r>
          </w:p>
        </w:tc>
        <w:tc>
          <w:tcPr>
            <w:tcW w:w="3271" w:type="dxa"/>
            <w:vAlign w:val="bottom"/>
          </w:tcPr>
          <w:p>
            <w:pPr>
              <w:rPr>
                <w:rFonts w:ascii="仿宋" w:hAnsi="仿宋" w:eastAsia="仿宋" w:cs="Times New Roman"/>
                <w:sz w:val="28"/>
                <w:szCs w:val="28"/>
              </w:rPr>
            </w:pPr>
            <w:r>
              <w:rPr>
                <w:rFonts w:hint="eastAsia" w:ascii="仿宋" w:hAnsi="仿宋" w:eastAsia="仿宋" w:cs="Times New Roman"/>
                <w:sz w:val="28"/>
                <w:szCs w:val="28"/>
              </w:rPr>
              <w:t>资本公积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71</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235" w:type="dxa"/>
            <w:vAlign w:val="bottom"/>
          </w:tcPr>
          <w:p>
            <w:pPr>
              <w:jc w:val="center"/>
              <w:rPr>
                <w:rFonts w:ascii="仿宋" w:hAnsi="仿宋" w:eastAsia="仿宋" w:cs="Times New Roman"/>
                <w:sz w:val="28"/>
                <w:szCs w:val="28"/>
              </w:rPr>
            </w:pPr>
            <w:r>
              <w:rPr>
                <w:rFonts w:hint="eastAsia" w:ascii="仿宋" w:hAnsi="仿宋" w:eastAsia="仿宋" w:cs="Times New Roman"/>
                <w:sz w:val="28"/>
                <w:szCs w:val="28"/>
              </w:rPr>
              <w:t>313</w:t>
            </w:r>
          </w:p>
        </w:tc>
        <w:tc>
          <w:tcPr>
            <w:tcW w:w="3271" w:type="dxa"/>
            <w:vAlign w:val="bottom"/>
          </w:tcPr>
          <w:p>
            <w:pPr>
              <w:rPr>
                <w:rFonts w:ascii="仿宋" w:hAnsi="仿宋" w:eastAsia="仿宋" w:cs="Times New Roman"/>
                <w:sz w:val="28"/>
                <w:szCs w:val="28"/>
              </w:rPr>
            </w:pPr>
            <w:r>
              <w:rPr>
                <w:rFonts w:hint="eastAsia" w:ascii="仿宋" w:hAnsi="仿宋" w:eastAsia="仿宋" w:cs="Times New Roman"/>
                <w:sz w:val="28"/>
                <w:szCs w:val="28"/>
              </w:rPr>
              <w:t>盈余公积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Times New Roman"/>
                <w:sz w:val="28"/>
                <w:szCs w:val="28"/>
              </w:rPr>
              <w:t>72</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235" w:type="dxa"/>
            <w:vAlign w:val="bottom"/>
          </w:tcPr>
          <w:p>
            <w:pPr>
              <w:jc w:val="center"/>
              <w:rPr>
                <w:rFonts w:ascii="仿宋" w:hAnsi="仿宋" w:eastAsia="仿宋" w:cs="Times New Roman"/>
                <w:sz w:val="28"/>
                <w:szCs w:val="28"/>
              </w:rPr>
            </w:pPr>
            <w:r>
              <w:rPr>
                <w:rFonts w:hint="eastAsia" w:ascii="仿宋" w:hAnsi="仿宋" w:eastAsia="仿宋" w:cs="Times New Roman"/>
                <w:sz w:val="28"/>
                <w:szCs w:val="28"/>
              </w:rPr>
              <w:t>322</w:t>
            </w:r>
          </w:p>
        </w:tc>
        <w:tc>
          <w:tcPr>
            <w:tcW w:w="3271" w:type="dxa"/>
            <w:vAlign w:val="bottom"/>
          </w:tcPr>
          <w:p>
            <w:pPr>
              <w:rPr>
                <w:rFonts w:ascii="仿宋" w:hAnsi="仿宋" w:eastAsia="仿宋" w:cs="Times New Roman"/>
                <w:sz w:val="28"/>
                <w:szCs w:val="28"/>
              </w:rPr>
            </w:pPr>
            <w:r>
              <w:rPr>
                <w:rFonts w:hint="eastAsia" w:ascii="仿宋" w:hAnsi="仿宋" w:eastAsia="仿宋" w:cs="Times New Roman"/>
                <w:sz w:val="28"/>
                <w:szCs w:val="28"/>
              </w:rPr>
              <w:t>利润分配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Times New Roman"/>
                <w:sz w:val="28"/>
                <w:szCs w:val="28"/>
              </w:rPr>
              <w:t>73</w:t>
            </w:r>
          </w:p>
        </w:tc>
        <w:tc>
          <w:tcPr>
            <w:tcW w:w="810" w:type="dxa"/>
          </w:tcPr>
          <w:p>
            <w:pPr>
              <w:rPr>
                <w:rFonts w:ascii="仿宋" w:hAnsi="仿宋" w:eastAsia="仿宋" w:cs="Times New Roman"/>
                <w:sz w:val="28"/>
                <w:szCs w:val="28"/>
              </w:rPr>
            </w:pPr>
            <w:r>
              <w:rPr>
                <w:rFonts w:hint="eastAsia" w:ascii="仿宋" w:hAnsi="仿宋" w:eastAsia="仿宋" w:cs="Times New Roman"/>
                <w:sz w:val="28"/>
                <w:szCs w:val="28"/>
              </w:rPr>
              <w:t>3001</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累计盈余</w:t>
            </w:r>
          </w:p>
        </w:tc>
        <w:tc>
          <w:tcPr>
            <w:tcW w:w="1235" w:type="dxa"/>
            <w:vAlign w:val="center"/>
          </w:tcPr>
          <w:p>
            <w:pPr>
              <w:pStyle w:val="8"/>
              <w:jc w:val="center"/>
              <w:rPr>
                <w:rFonts w:cs="宋体"/>
                <w:sz w:val="28"/>
                <w:szCs w:val="28"/>
              </w:rPr>
            </w:pPr>
          </w:p>
        </w:tc>
        <w:tc>
          <w:tcPr>
            <w:tcW w:w="3271" w:type="dxa"/>
            <w:vAlign w:val="center"/>
          </w:tcPr>
          <w:p>
            <w:pPr>
              <w:pStyle w:val="8"/>
              <w:rPr>
                <w:rFonts w:ascii="仿宋" w:hAnsi="仿宋" w:eastAsia="仿宋"/>
                <w:sz w:val="28"/>
                <w:szCs w:val="28"/>
              </w:rPr>
            </w:pPr>
            <w:r>
              <w:rPr>
                <w:rFonts w:hint="eastAsia" w:ascii="仿宋" w:hAnsi="仿宋" w:eastAsia="仿宋"/>
                <w:sz w:val="28"/>
                <w:szCs w:val="28"/>
              </w:rPr>
              <w:t>上级拨入资金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宋体"/>
                <w:sz w:val="28"/>
                <w:szCs w:val="28"/>
              </w:rPr>
            </w:pPr>
            <w:r>
              <w:rPr>
                <w:rFonts w:hint="eastAsia" w:ascii="仿宋" w:hAnsi="仿宋" w:eastAsia="仿宋" w:cs="宋体"/>
                <w:sz w:val="28"/>
                <w:szCs w:val="28"/>
              </w:rPr>
              <w:t>五、成本类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74</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1614</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营林工程</w:t>
            </w:r>
          </w:p>
        </w:tc>
        <w:tc>
          <w:tcPr>
            <w:tcW w:w="1235" w:type="dxa"/>
            <w:vMerge w:val="restart"/>
            <w:vAlign w:val="center"/>
          </w:tcPr>
          <w:p>
            <w:pPr>
              <w:pStyle w:val="8"/>
              <w:rPr>
                <w:rFonts w:ascii="仿宋" w:hAnsi="仿宋" w:eastAsia="仿宋"/>
                <w:sz w:val="28"/>
                <w:szCs w:val="28"/>
              </w:rPr>
            </w:pPr>
            <w:r>
              <w:rPr>
                <w:rFonts w:hint="eastAsia" w:cs="宋体"/>
                <w:sz w:val="28"/>
                <w:szCs w:val="28"/>
              </w:rPr>
              <w:t> </w:t>
            </w:r>
            <w:r>
              <w:rPr>
                <w:rFonts w:hint="eastAsia" w:ascii="仿宋" w:hAnsi="仿宋" w:eastAsia="仿宋"/>
                <w:sz w:val="28"/>
                <w:szCs w:val="28"/>
              </w:rPr>
              <w:t>4</w:t>
            </w:r>
            <w:r>
              <w:rPr>
                <w:rFonts w:ascii="仿宋" w:hAnsi="仿宋" w:eastAsia="仿宋"/>
                <w:sz w:val="28"/>
                <w:szCs w:val="28"/>
              </w:rPr>
              <w:t>01</w:t>
            </w:r>
          </w:p>
        </w:tc>
        <w:tc>
          <w:tcPr>
            <w:tcW w:w="3271" w:type="dxa"/>
            <w:vMerge w:val="restart"/>
            <w:vAlign w:val="center"/>
          </w:tcPr>
          <w:p>
            <w:pPr>
              <w:pStyle w:val="8"/>
              <w:rPr>
                <w:rFonts w:ascii="仿宋" w:hAnsi="仿宋" w:eastAsia="仿宋"/>
                <w:sz w:val="28"/>
                <w:szCs w:val="28"/>
              </w:rPr>
            </w:pPr>
            <w:r>
              <w:rPr>
                <w:rFonts w:hint="eastAsia" w:ascii="仿宋" w:hAnsi="仿宋" w:eastAsia="仿宋"/>
                <w:sz w:val="28"/>
                <w:szCs w:val="28"/>
              </w:rPr>
              <w:t>生产成本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75</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1302</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库存物品</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76</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1303</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加工物品</w:t>
            </w:r>
          </w:p>
        </w:tc>
        <w:tc>
          <w:tcPr>
            <w:tcW w:w="1235" w:type="dxa"/>
            <w:vMerge w:val="continue"/>
            <w:vAlign w:val="center"/>
          </w:tcPr>
          <w:p>
            <w:pPr>
              <w:pStyle w:val="8"/>
              <w:rPr>
                <w:rFonts w:cs="宋体"/>
                <w:sz w:val="28"/>
                <w:szCs w:val="28"/>
              </w:rPr>
            </w:pPr>
          </w:p>
        </w:tc>
        <w:tc>
          <w:tcPr>
            <w:tcW w:w="3271" w:type="dxa"/>
            <w:vMerge w:val="continue"/>
            <w:vAlign w:val="center"/>
          </w:tcPr>
          <w:p>
            <w:pPr>
              <w:pStyle w:val="8"/>
              <w:rPr>
                <w:rFonts w:ascii="仿宋" w:hAnsi="仿宋" w:eastAsia="仿宋"/>
                <w:sz w:val="28"/>
                <w:szCs w:val="28"/>
              </w:rPr>
            </w:pPr>
          </w:p>
        </w:tc>
      </w:tr>
    </w:tbl>
    <w:p>
      <w:pPr>
        <w:widowControl/>
        <w:jc w:val="left"/>
        <w:rPr>
          <w:rFonts w:ascii="仿宋" w:hAnsi="仿宋" w:eastAsia="仿宋" w:cs="宋体"/>
          <w:sz w:val="32"/>
          <w:szCs w:val="32"/>
        </w:rPr>
      </w:pPr>
      <w:r>
        <w:rPr>
          <w:rFonts w:ascii="仿宋" w:hAnsi="仿宋" w:eastAsia="仿宋" w:cs="宋体"/>
          <w:sz w:val="32"/>
          <w:szCs w:val="32"/>
        </w:rPr>
        <w:br w:type="page"/>
      </w:r>
    </w:p>
    <w:p>
      <w:pPr>
        <w:jc w:val="left"/>
        <w:rPr>
          <w:rFonts w:ascii="仿宋" w:hAnsi="仿宋" w:eastAsia="仿宋" w:cs="Times New Roman"/>
          <w:sz w:val="32"/>
          <w:szCs w:val="32"/>
        </w:rPr>
      </w:pPr>
      <w:r>
        <w:rPr>
          <w:rFonts w:hint="eastAsia" w:ascii="仿宋" w:hAnsi="仿宋" w:eastAsia="仿宋" w:cs="宋体"/>
          <w:sz w:val="32"/>
          <w:szCs w:val="32"/>
        </w:rPr>
        <w:t>附表４：</w:t>
      </w:r>
    </w:p>
    <w:p>
      <w:pPr>
        <w:widowControl/>
        <w:jc w:val="center"/>
        <w:rPr>
          <w:rFonts w:ascii="仿宋" w:hAnsi="仿宋" w:eastAsia="仿宋" w:cs="宋体"/>
          <w:b/>
          <w:bCs/>
          <w:sz w:val="32"/>
          <w:szCs w:val="32"/>
        </w:rPr>
      </w:pPr>
      <w:r>
        <w:rPr>
          <w:rFonts w:hint="eastAsia" w:ascii="仿宋" w:hAnsi="仿宋" w:eastAsia="仿宋" w:cs="宋体"/>
          <w:b/>
          <w:bCs/>
          <w:sz w:val="32"/>
          <w:szCs w:val="32"/>
        </w:rPr>
        <w:t>林场原“大账”与基建账会计科目对照表</w:t>
      </w:r>
    </w:p>
    <w:tbl>
      <w:tblPr>
        <w:tblStyle w:val="15"/>
        <w:tblW w:w="85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835"/>
        <w:gridCol w:w="850"/>
        <w:gridCol w:w="38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3794" w:type="dxa"/>
            <w:gridSpan w:val="2"/>
          </w:tcPr>
          <w:p>
            <w:pPr>
              <w:autoSpaceDE w:val="0"/>
              <w:autoSpaceDN w:val="0"/>
              <w:adjustRightInd w:val="0"/>
              <w:jc w:val="center"/>
              <w:rPr>
                <w:rFonts w:ascii="仿宋" w:hAnsi="仿宋" w:eastAsia="仿宋" w:cs="宋体"/>
                <w:kern w:val="0"/>
                <w:sz w:val="24"/>
                <w:szCs w:val="24"/>
              </w:rPr>
            </w:pPr>
            <w:r>
              <w:rPr>
                <w:rFonts w:hint="eastAsia" w:ascii="仿宋" w:hAnsi="仿宋" w:eastAsia="仿宋" w:cs="宋体"/>
                <w:kern w:val="0"/>
                <w:sz w:val="24"/>
                <w:szCs w:val="24"/>
              </w:rPr>
              <w:t>“大账”会计科目</w:t>
            </w:r>
          </w:p>
        </w:tc>
        <w:tc>
          <w:tcPr>
            <w:tcW w:w="4728" w:type="dxa"/>
            <w:gridSpan w:val="2"/>
          </w:tcPr>
          <w:p>
            <w:pPr>
              <w:autoSpaceDE w:val="0"/>
              <w:autoSpaceDN w:val="0"/>
              <w:adjustRightInd w:val="0"/>
              <w:jc w:val="center"/>
              <w:rPr>
                <w:rFonts w:ascii="仿宋" w:hAnsi="仿宋" w:eastAsia="仿宋" w:cs="宋体"/>
                <w:kern w:val="0"/>
                <w:sz w:val="24"/>
                <w:szCs w:val="24"/>
              </w:rPr>
            </w:pPr>
            <w:r>
              <w:rPr>
                <w:rFonts w:hint="eastAsia" w:ascii="仿宋" w:hAnsi="仿宋" w:eastAsia="仿宋" w:cs="宋体"/>
                <w:kern w:val="0"/>
                <w:sz w:val="24"/>
                <w:szCs w:val="24"/>
              </w:rPr>
              <w:t>基建账会计科目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编号</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名称</w:t>
            </w:r>
          </w:p>
        </w:tc>
        <w:tc>
          <w:tcPr>
            <w:tcW w:w="850"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编号</w:t>
            </w:r>
            <w:r>
              <w:rPr>
                <w:rFonts w:ascii="仿宋" w:hAnsi="仿宋" w:eastAsia="仿宋" w:cs="宋体"/>
                <w:kern w:val="0"/>
                <w:sz w:val="24"/>
                <w:szCs w:val="24"/>
              </w:rPr>
              <w:t xml:space="preserve">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autoSpaceDE w:val="0"/>
              <w:autoSpaceDN w:val="0"/>
              <w:adjustRightInd w:val="0"/>
              <w:jc w:val="center"/>
              <w:rPr>
                <w:rFonts w:ascii="仿宋" w:hAnsi="仿宋" w:eastAsia="仿宋" w:cs="宋体"/>
                <w:kern w:val="0"/>
                <w:sz w:val="24"/>
                <w:szCs w:val="24"/>
              </w:rPr>
            </w:pPr>
            <w:r>
              <w:rPr>
                <w:rFonts w:hint="eastAsia" w:ascii="仿宋" w:hAnsi="仿宋" w:eastAsia="仿宋" w:cs="宋体"/>
                <w:kern w:val="0"/>
                <w:sz w:val="24"/>
                <w:szCs w:val="24"/>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1001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库存现金</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233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1002</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银行存款</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232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10</w:t>
            </w:r>
            <w:r>
              <w:rPr>
                <w:rFonts w:hint="eastAsia" w:ascii="仿宋" w:hAnsi="仿宋" w:eastAsia="仿宋" w:cs="Times New Roman"/>
                <w:kern w:val="0"/>
                <w:sz w:val="24"/>
                <w:szCs w:val="24"/>
              </w:rPr>
              <w:t>03</w:t>
            </w:r>
            <w:r>
              <w:rPr>
                <w:rFonts w:ascii="仿宋" w:hAnsi="仿宋" w:eastAsia="仿宋" w:cs="Times New Roman"/>
                <w:kern w:val="0"/>
                <w:sz w:val="24"/>
                <w:szCs w:val="24"/>
              </w:rPr>
              <w:t xml:space="preserve"> </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零余额账户用款额度</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234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零余额账户用款额度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201</w:t>
            </w:r>
            <w:r>
              <w:rPr>
                <w:rFonts w:ascii="仿宋" w:hAnsi="仿宋" w:eastAsia="仿宋" w:cs="Times New Roman"/>
                <w:kern w:val="0"/>
                <w:sz w:val="24"/>
                <w:szCs w:val="24"/>
              </w:rPr>
              <w:t xml:space="preserve"> </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财政应返还额度</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235</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hint="eastAsia" w:ascii="仿宋" w:hAnsi="仿宋" w:eastAsia="仿宋" w:cs="Times New Roman"/>
                <w:kern w:val="0"/>
                <w:sz w:val="24"/>
                <w:szCs w:val="24"/>
              </w:rPr>
              <w:t>1101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短期投资</w:t>
            </w:r>
          </w:p>
        </w:tc>
        <w:tc>
          <w:tcPr>
            <w:tcW w:w="850" w:type="dxa"/>
            <w:vMerge w:val="restart"/>
            <w:vAlign w:val="center"/>
          </w:tcPr>
          <w:p>
            <w:pPr>
              <w:autoSpaceDE w:val="0"/>
              <w:autoSpaceDN w:val="0"/>
              <w:adjustRightInd w:val="0"/>
              <w:rPr>
                <w:rFonts w:ascii="仿宋" w:hAnsi="仿宋" w:eastAsia="仿宋" w:cs="宋体"/>
                <w:kern w:val="0"/>
                <w:sz w:val="24"/>
                <w:szCs w:val="24"/>
              </w:rPr>
            </w:pPr>
            <w:r>
              <w:rPr>
                <w:rFonts w:ascii="仿宋" w:hAnsi="仿宋" w:eastAsia="仿宋" w:cs="Times New Roman"/>
                <w:kern w:val="0"/>
                <w:sz w:val="24"/>
                <w:szCs w:val="24"/>
              </w:rPr>
              <w:t xml:space="preserve">281 </w:t>
            </w:r>
          </w:p>
        </w:tc>
        <w:tc>
          <w:tcPr>
            <w:tcW w:w="3878"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有价证券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hint="eastAsia" w:ascii="仿宋" w:hAnsi="仿宋" w:eastAsia="仿宋" w:cs="Times New Roman"/>
                <w:kern w:val="0"/>
                <w:sz w:val="24"/>
                <w:szCs w:val="24"/>
              </w:rPr>
              <w:t>1501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长期投资</w:t>
            </w:r>
          </w:p>
        </w:tc>
        <w:tc>
          <w:tcPr>
            <w:tcW w:w="850" w:type="dxa"/>
            <w:vMerge w:val="continue"/>
          </w:tcPr>
          <w:p>
            <w:pPr>
              <w:autoSpaceDE w:val="0"/>
              <w:autoSpaceDN w:val="0"/>
              <w:adjustRightInd w:val="0"/>
              <w:jc w:val="left"/>
              <w:rPr>
                <w:rFonts w:ascii="仿宋" w:hAnsi="仿宋" w:eastAsia="仿宋" w:cs="Times New Roman"/>
                <w:kern w:val="0"/>
                <w:sz w:val="24"/>
                <w:szCs w:val="24"/>
              </w:rPr>
            </w:pPr>
          </w:p>
        </w:tc>
        <w:tc>
          <w:tcPr>
            <w:tcW w:w="3878" w:type="dxa"/>
            <w:vMerge w:val="continue"/>
          </w:tcPr>
          <w:p>
            <w:pPr>
              <w:autoSpaceDE w:val="0"/>
              <w:autoSpaceDN w:val="0"/>
              <w:adjustRightInd w:val="0"/>
              <w:jc w:val="left"/>
              <w:rPr>
                <w:rFonts w:ascii="仿宋" w:hAnsi="仿宋" w:eastAsia="仿宋" w:cs="宋体"/>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1212 </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应收账款</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251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应收有偿调出器材及工程款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hint="eastAsia" w:ascii="仿宋" w:hAnsi="仿宋" w:eastAsia="仿宋" w:cs="Times New Roman"/>
                <w:kern w:val="0"/>
                <w:sz w:val="24"/>
                <w:szCs w:val="24"/>
              </w:rPr>
              <w:t>1211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应收票据</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253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应收票据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ascii="仿宋" w:hAnsi="仿宋" w:eastAsia="仿宋" w:cs="Times New Roman"/>
                <w:kern w:val="0"/>
                <w:sz w:val="24"/>
                <w:szCs w:val="24"/>
              </w:rPr>
              <w:t>1215</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其他应收款</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252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261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拨付所属投资借款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5</w:t>
            </w:r>
            <w:r>
              <w:rPr>
                <w:rFonts w:ascii="仿宋" w:hAnsi="仿宋" w:eastAsia="仿宋" w:cs="Times New Roman"/>
                <w:kern w:val="0"/>
                <w:sz w:val="24"/>
                <w:szCs w:val="24"/>
              </w:rPr>
              <w:t>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固定资产</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201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55</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累计折旧</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202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宋体"/>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59</w:t>
            </w:r>
            <w:r>
              <w:rPr>
                <w:rFonts w:ascii="仿宋" w:hAnsi="仿宋" w:eastAsia="仿宋" w:cs="Times New Roman"/>
                <w:kern w:val="0"/>
                <w:sz w:val="24"/>
                <w:szCs w:val="24"/>
              </w:rPr>
              <w:t xml:space="preserve"> </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在建工程</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101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建筑安装工程投资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102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设备投资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103</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待摊投资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104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其他投资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211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器材采购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212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采购保管费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213</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库存设备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214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库存材料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218</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材料成本差异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219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委托加工器材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tcPr>
          <w:p>
            <w:pPr>
              <w:autoSpaceDE w:val="0"/>
              <w:autoSpaceDN w:val="0"/>
              <w:adjustRightInd w:val="0"/>
              <w:jc w:val="left"/>
              <w:rPr>
                <w:rFonts w:ascii="仿宋" w:hAnsi="仿宋" w:eastAsia="仿宋" w:cs="Times New Roman"/>
                <w:kern w:val="0"/>
                <w:sz w:val="24"/>
                <w:szCs w:val="24"/>
              </w:rPr>
            </w:pPr>
            <w:r>
              <w:rPr>
                <w:rFonts w:hint="eastAsia" w:ascii="仿宋" w:hAnsi="仿宋" w:eastAsia="仿宋" w:cs="Times New Roman"/>
                <w:kern w:val="0"/>
                <w:sz w:val="24"/>
                <w:szCs w:val="24"/>
              </w:rPr>
              <w:t>1213</w:t>
            </w:r>
          </w:p>
        </w:tc>
        <w:tc>
          <w:tcPr>
            <w:tcW w:w="2835" w:type="dxa"/>
            <w:vMerge w:val="restart"/>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 xml:space="preserve">预付账款 </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241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预付备料款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242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预付工程款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rPr>
                <w:rFonts w:ascii="仿宋" w:hAnsi="仿宋" w:eastAsia="仿宋" w:cs="宋体"/>
                <w:kern w:val="0"/>
                <w:sz w:val="24"/>
                <w:szCs w:val="24"/>
              </w:rPr>
            </w:pPr>
            <w:r>
              <w:rPr>
                <w:rFonts w:ascii="仿宋" w:hAnsi="仿宋" w:eastAsia="仿宋" w:cs="Times New Roman"/>
                <w:kern w:val="0"/>
                <w:sz w:val="24"/>
                <w:szCs w:val="24"/>
              </w:rPr>
              <w:t>1</w:t>
            </w:r>
            <w:r>
              <w:rPr>
                <w:rFonts w:hint="eastAsia" w:ascii="仿宋" w:hAnsi="仿宋" w:eastAsia="仿宋" w:cs="Times New Roman"/>
                <w:kern w:val="0"/>
                <w:sz w:val="24"/>
                <w:szCs w:val="24"/>
              </w:rPr>
              <w:t>56</w:t>
            </w:r>
          </w:p>
        </w:tc>
        <w:tc>
          <w:tcPr>
            <w:tcW w:w="2835" w:type="dxa"/>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固定资产清理</w:t>
            </w:r>
          </w:p>
        </w:tc>
        <w:tc>
          <w:tcPr>
            <w:tcW w:w="850" w:type="dxa"/>
          </w:tcPr>
          <w:p>
            <w:pPr>
              <w:autoSpaceDE w:val="0"/>
              <w:autoSpaceDN w:val="0"/>
              <w:adjustRightInd w:val="0"/>
              <w:jc w:val="left"/>
              <w:rPr>
                <w:rFonts w:ascii="仿宋" w:hAnsi="仿宋" w:eastAsia="仿宋" w:cs="宋体"/>
                <w:kern w:val="0"/>
                <w:sz w:val="24"/>
                <w:szCs w:val="24"/>
              </w:rPr>
            </w:pPr>
            <w:r>
              <w:rPr>
                <w:rFonts w:ascii="仿宋" w:hAnsi="仿宋" w:eastAsia="仿宋" w:cs="Times New Roman"/>
                <w:kern w:val="0"/>
                <w:sz w:val="24"/>
                <w:szCs w:val="24"/>
              </w:rPr>
              <w:t xml:space="preserve">203 </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固定资产清理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181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待处理财产损溢</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271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待处理财产损失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autoSpaceDE w:val="0"/>
              <w:autoSpaceDN w:val="0"/>
              <w:adjustRightInd w:val="0"/>
              <w:jc w:val="center"/>
              <w:rPr>
                <w:rFonts w:ascii="仿宋" w:hAnsi="仿宋" w:eastAsia="仿宋" w:cs="宋体"/>
                <w:kern w:val="0"/>
                <w:sz w:val="24"/>
                <w:szCs w:val="24"/>
              </w:rPr>
            </w:pPr>
            <w:r>
              <w:rPr>
                <w:rFonts w:hint="eastAsia" w:ascii="仿宋" w:hAnsi="仿宋" w:eastAsia="仿宋" w:cs="宋体"/>
                <w:kern w:val="0"/>
                <w:sz w:val="24"/>
                <w:szCs w:val="24"/>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1</w:t>
            </w:r>
            <w:r>
              <w:rPr>
                <w:rFonts w:ascii="仿宋" w:hAnsi="仿宋" w:eastAsia="仿宋" w:cs="Times New Roman"/>
                <w:kern w:val="0"/>
                <w:sz w:val="24"/>
                <w:szCs w:val="24"/>
              </w:rPr>
              <w:t>01</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应缴款项</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362</w:t>
            </w:r>
          </w:p>
        </w:tc>
        <w:tc>
          <w:tcPr>
            <w:tcW w:w="3878" w:type="dxa"/>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应交基建包干节余（应交财政部分）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363</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应交基建收入（应交财政部分）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 xml:space="preserve">其他应交款（应交财政部分）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21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应交税金</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应交税金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211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应付工资</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341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应付工资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214</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应付福利费</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342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应付福利费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202</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应付账款</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331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应付器材款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332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应付工程款（</w:t>
            </w:r>
            <w:r>
              <w:rPr>
                <w:rFonts w:ascii="仿宋" w:hAnsi="仿宋" w:eastAsia="仿宋" w:cs="Times New Roman"/>
                <w:kern w:val="0"/>
                <w:sz w:val="24"/>
                <w:szCs w:val="24"/>
              </w:rPr>
              <w:t>1</w:t>
            </w:r>
            <w:r>
              <w:rPr>
                <w:rFonts w:hint="eastAsia" w:ascii="仿宋" w:hAnsi="仿宋" w:eastAsia="仿宋" w:cs="宋体"/>
                <w:kern w:val="0"/>
                <w:sz w:val="24"/>
                <w:szCs w:val="24"/>
              </w:rPr>
              <w:t>年以内</w:t>
            </w:r>
            <w:r>
              <w:rPr>
                <w:rFonts w:hint="eastAsia" w:ascii="仿宋" w:hAnsi="仿宋" w:eastAsia="仿宋" w:cs="宋体"/>
                <w:kern w:val="0"/>
                <w:sz w:val="24"/>
                <w:szCs w:val="24"/>
                <w:vertAlign w:val="superscript"/>
              </w:rPr>
              <w:t>注１</w:t>
            </w:r>
            <w:r>
              <w:rPr>
                <w:rFonts w:hint="eastAsia" w:ascii="仿宋" w:hAnsi="仿宋" w:eastAsia="仿宋" w:cs="宋体"/>
                <w:kern w:val="0"/>
                <w:sz w:val="24"/>
                <w:szCs w:val="24"/>
              </w:rPr>
              <w:t>偿还的）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351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应付有偿调入器材及工程款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hint="eastAsia" w:ascii="仿宋" w:hAnsi="仿宋" w:eastAsia="仿宋" w:cs="Times New Roman"/>
                <w:kern w:val="0"/>
                <w:sz w:val="24"/>
                <w:szCs w:val="24"/>
              </w:rPr>
              <w:t>2201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应付票据</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353</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207</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其他应付款</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352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autoSpaceDE w:val="0"/>
              <w:autoSpaceDN w:val="0"/>
              <w:adjustRightInd w:val="0"/>
              <w:rPr>
                <w:rFonts w:ascii="仿宋" w:hAnsi="仿宋" w:eastAsia="仿宋" w:cs="Times New Roman"/>
                <w:kern w:val="0"/>
                <w:sz w:val="24"/>
                <w:szCs w:val="24"/>
              </w:rPr>
            </w:pPr>
          </w:p>
        </w:tc>
        <w:tc>
          <w:tcPr>
            <w:tcW w:w="2835" w:type="dxa"/>
            <w:vMerge w:val="continue"/>
            <w:vAlign w:val="center"/>
          </w:tcPr>
          <w:p>
            <w:pPr>
              <w:autoSpaceDE w:val="0"/>
              <w:autoSpaceDN w:val="0"/>
              <w:adjustRightInd w:val="0"/>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362</w:t>
            </w:r>
          </w:p>
        </w:tc>
        <w:tc>
          <w:tcPr>
            <w:tcW w:w="3878" w:type="dxa"/>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应交基建包干节余（非应交财政部分）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autoSpaceDE w:val="0"/>
              <w:autoSpaceDN w:val="0"/>
              <w:adjustRightInd w:val="0"/>
              <w:rPr>
                <w:rFonts w:ascii="仿宋" w:hAnsi="仿宋" w:eastAsia="仿宋" w:cs="Times New Roman"/>
                <w:kern w:val="0"/>
                <w:sz w:val="24"/>
                <w:szCs w:val="24"/>
              </w:rPr>
            </w:pPr>
          </w:p>
        </w:tc>
        <w:tc>
          <w:tcPr>
            <w:tcW w:w="2835" w:type="dxa"/>
            <w:vMerge w:val="continue"/>
            <w:vAlign w:val="center"/>
          </w:tcPr>
          <w:p>
            <w:pPr>
              <w:autoSpaceDE w:val="0"/>
              <w:autoSpaceDN w:val="0"/>
              <w:adjustRightInd w:val="0"/>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363</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应交基建收入（非应交财政部分）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vAlign w:val="center"/>
          </w:tcPr>
          <w:p>
            <w:pPr>
              <w:autoSpaceDE w:val="0"/>
              <w:autoSpaceDN w:val="0"/>
              <w:adjustRightInd w:val="0"/>
              <w:rPr>
                <w:rFonts w:ascii="仿宋" w:hAnsi="仿宋" w:eastAsia="仿宋" w:cs="Times New Roman"/>
                <w:kern w:val="0"/>
                <w:sz w:val="24"/>
                <w:szCs w:val="24"/>
              </w:rPr>
            </w:pPr>
          </w:p>
        </w:tc>
        <w:tc>
          <w:tcPr>
            <w:tcW w:w="2835" w:type="dxa"/>
            <w:vMerge w:val="continue"/>
            <w:vAlign w:val="center"/>
          </w:tcPr>
          <w:p>
            <w:pPr>
              <w:autoSpaceDE w:val="0"/>
              <w:autoSpaceDN w:val="0"/>
              <w:adjustRightInd w:val="0"/>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 xml:space="preserve">其他应交款（非应交财政部分）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222</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其他应交款[未设“应缴款项”科目的]</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362</w:t>
            </w:r>
          </w:p>
        </w:tc>
        <w:tc>
          <w:tcPr>
            <w:tcW w:w="3878" w:type="dxa"/>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应交基建包干节余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宋体"/>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363</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应交基建收入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宋体"/>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364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 xml:space="preserve">其他应交款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6</w:t>
            </w:r>
            <w:r>
              <w:rPr>
                <w:rFonts w:ascii="仿宋" w:hAnsi="仿宋" w:eastAsia="仿宋" w:cs="Times New Roman"/>
                <w:kern w:val="0"/>
                <w:sz w:val="24"/>
                <w:szCs w:val="24"/>
              </w:rPr>
              <w:t>1</w:t>
            </w:r>
          </w:p>
        </w:tc>
        <w:tc>
          <w:tcPr>
            <w:tcW w:w="2835"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长期应付款</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332</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应付工程款（超过</w:t>
            </w:r>
            <w:r>
              <w:rPr>
                <w:rFonts w:ascii="仿宋" w:hAnsi="仿宋" w:eastAsia="仿宋" w:cs="Times New Roman"/>
                <w:kern w:val="0"/>
                <w:sz w:val="24"/>
                <w:szCs w:val="24"/>
              </w:rPr>
              <w:t>1</w:t>
            </w:r>
            <w:r>
              <w:rPr>
                <w:rFonts w:hint="eastAsia" w:ascii="仿宋" w:hAnsi="仿宋" w:eastAsia="仿宋" w:cs="宋体"/>
                <w:kern w:val="0"/>
                <w:sz w:val="24"/>
                <w:szCs w:val="24"/>
              </w:rPr>
              <w:t>年</w:t>
            </w:r>
            <w:r>
              <w:rPr>
                <w:rFonts w:hint="eastAsia"/>
                <w:vertAlign w:val="superscript"/>
              </w:rPr>
              <w:t>注２</w:t>
            </w:r>
            <w:r>
              <w:rPr>
                <w:rFonts w:hint="eastAsia" w:ascii="仿宋" w:hAnsi="仿宋" w:eastAsia="仿宋" w:cs="宋体"/>
                <w:kern w:val="0"/>
                <w:sz w:val="24"/>
                <w:szCs w:val="24"/>
              </w:rPr>
              <w:t>偿还的）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hint="eastAsia" w:ascii="仿宋" w:hAnsi="仿宋" w:eastAsia="仿宋" w:cs="Times New Roman"/>
                <w:kern w:val="0"/>
                <w:sz w:val="24"/>
                <w:szCs w:val="24"/>
              </w:rPr>
              <w:t>2001</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短期借款</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基建投资借款（１年以内偿还）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305</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上级拨入投资借款（１年以内偿还）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306</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其他借款（１年以内偿还）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hint="eastAsia" w:ascii="仿宋" w:hAnsi="仿宋" w:eastAsia="仿宋" w:cs="Times New Roman"/>
                <w:kern w:val="0"/>
                <w:sz w:val="24"/>
                <w:szCs w:val="24"/>
              </w:rPr>
              <w:t>241</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长期借款</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304</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基建投资借款（１年以上偿还）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305</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上级拨入投资借款（１年以上偿还）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306</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其他借款（１年以上偿还）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autoSpaceDE w:val="0"/>
              <w:autoSpaceDN w:val="0"/>
              <w:adjustRightInd w:val="0"/>
              <w:jc w:val="center"/>
              <w:rPr>
                <w:rFonts w:ascii="仿宋" w:hAnsi="仿宋" w:eastAsia="仿宋" w:cs="宋体"/>
                <w:kern w:val="0"/>
                <w:sz w:val="24"/>
                <w:szCs w:val="24"/>
              </w:rPr>
            </w:pPr>
            <w:r>
              <w:rPr>
                <w:rFonts w:hint="eastAsia" w:ascii="仿宋" w:hAnsi="仿宋" w:eastAsia="仿宋" w:cs="宋体"/>
                <w:kern w:val="0"/>
                <w:sz w:val="24"/>
                <w:szCs w:val="24"/>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4</w:t>
            </w:r>
            <w:r>
              <w:rPr>
                <w:rFonts w:ascii="仿宋" w:hAnsi="仿宋" w:eastAsia="仿宋" w:cs="Times New Roman"/>
                <w:kern w:val="0"/>
                <w:sz w:val="24"/>
                <w:szCs w:val="24"/>
              </w:rPr>
              <w:t>01</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财政补助结转（余）</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基建拨款（余额中属于同级财政拨款的剩余资金）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401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留成收入（属于同级财政拨款形成的部分）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restart"/>
            <w:vAlign w:val="center"/>
          </w:tcPr>
          <w:p>
            <w:pPr>
              <w:autoSpaceDE w:val="0"/>
              <w:autoSpaceDN w:val="0"/>
              <w:adjustRightInd w:val="0"/>
              <w:rPr>
                <w:rFonts w:ascii="仿宋" w:hAnsi="仿宋" w:eastAsia="仿宋" w:cs="Times New Roman"/>
                <w:kern w:val="0"/>
                <w:sz w:val="24"/>
                <w:szCs w:val="24"/>
              </w:rPr>
            </w:pPr>
            <w:r>
              <w:rPr>
                <w:rFonts w:hint="eastAsia" w:ascii="仿宋" w:hAnsi="仿宋" w:eastAsia="仿宋" w:cs="Times New Roman"/>
                <w:kern w:val="0"/>
                <w:sz w:val="24"/>
                <w:szCs w:val="24"/>
              </w:rPr>
              <w:t>206</w:t>
            </w:r>
          </w:p>
        </w:tc>
        <w:tc>
          <w:tcPr>
            <w:tcW w:w="2835" w:type="dxa"/>
            <w:vMerge w:val="restart"/>
            <w:vAlign w:val="center"/>
          </w:tcPr>
          <w:p>
            <w:pPr>
              <w:autoSpaceDE w:val="0"/>
              <w:autoSpaceDN w:val="0"/>
              <w:adjustRightInd w:val="0"/>
              <w:rPr>
                <w:rFonts w:ascii="仿宋" w:hAnsi="仿宋" w:eastAsia="仿宋" w:cs="宋体"/>
                <w:kern w:val="0"/>
                <w:sz w:val="24"/>
                <w:szCs w:val="24"/>
              </w:rPr>
            </w:pPr>
            <w:r>
              <w:rPr>
                <w:rFonts w:hint="eastAsia" w:ascii="仿宋" w:hAnsi="仿宋" w:eastAsia="仿宋" w:cs="宋体"/>
                <w:kern w:val="0"/>
                <w:sz w:val="24"/>
                <w:szCs w:val="24"/>
              </w:rPr>
              <w:t>专项应付款</w:t>
            </w: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301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基建拨款（余额中属于非同级财政拨款的剩余资金）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59" w:type="dxa"/>
            <w:vMerge w:val="continue"/>
          </w:tcPr>
          <w:p>
            <w:pPr>
              <w:autoSpaceDE w:val="0"/>
              <w:autoSpaceDN w:val="0"/>
              <w:adjustRightInd w:val="0"/>
              <w:jc w:val="left"/>
              <w:rPr>
                <w:rFonts w:ascii="仿宋" w:hAnsi="仿宋" w:eastAsia="仿宋" w:cs="Times New Roman"/>
                <w:kern w:val="0"/>
                <w:sz w:val="24"/>
                <w:szCs w:val="24"/>
              </w:rPr>
            </w:pPr>
          </w:p>
        </w:tc>
        <w:tc>
          <w:tcPr>
            <w:tcW w:w="2835" w:type="dxa"/>
            <w:vMerge w:val="continue"/>
          </w:tcPr>
          <w:p>
            <w:pPr>
              <w:autoSpaceDE w:val="0"/>
              <w:autoSpaceDN w:val="0"/>
              <w:adjustRightInd w:val="0"/>
              <w:jc w:val="left"/>
              <w:rPr>
                <w:rFonts w:ascii="仿宋" w:hAnsi="仿宋" w:eastAsia="仿宋" w:cs="宋体"/>
                <w:kern w:val="0"/>
                <w:sz w:val="24"/>
                <w:szCs w:val="24"/>
              </w:rPr>
            </w:pPr>
          </w:p>
        </w:tc>
        <w:tc>
          <w:tcPr>
            <w:tcW w:w="850" w:type="dxa"/>
          </w:tcPr>
          <w:p>
            <w:pPr>
              <w:autoSpaceDE w:val="0"/>
              <w:autoSpaceDN w:val="0"/>
              <w:adjustRightInd w:val="0"/>
              <w:jc w:val="left"/>
              <w:rPr>
                <w:rFonts w:ascii="仿宋" w:hAnsi="仿宋" w:eastAsia="仿宋" w:cs="Times New Roman"/>
                <w:kern w:val="0"/>
                <w:sz w:val="24"/>
                <w:szCs w:val="24"/>
              </w:rPr>
            </w:pPr>
            <w:r>
              <w:rPr>
                <w:rFonts w:ascii="仿宋" w:hAnsi="仿宋" w:eastAsia="仿宋" w:cs="Times New Roman"/>
                <w:kern w:val="0"/>
                <w:sz w:val="24"/>
                <w:szCs w:val="24"/>
              </w:rPr>
              <w:t>401</w:t>
            </w:r>
          </w:p>
        </w:tc>
        <w:tc>
          <w:tcPr>
            <w:tcW w:w="3878" w:type="dxa"/>
          </w:tcPr>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留成收入（属于非同级财政拨款形成的部分）</w:t>
            </w:r>
          </w:p>
        </w:tc>
      </w:tr>
    </w:tbl>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注１：含１年，以下同。</w:t>
      </w:r>
    </w:p>
    <w:p>
      <w:pPr>
        <w:autoSpaceDE w:val="0"/>
        <w:autoSpaceDN w:val="0"/>
        <w:adjustRightInd w:val="0"/>
        <w:jc w:val="left"/>
        <w:rPr>
          <w:rFonts w:ascii="仿宋" w:hAnsi="仿宋" w:eastAsia="仿宋" w:cs="宋体"/>
          <w:kern w:val="0"/>
          <w:sz w:val="24"/>
          <w:szCs w:val="24"/>
        </w:rPr>
      </w:pPr>
      <w:r>
        <w:rPr>
          <w:rFonts w:hint="eastAsia" w:ascii="仿宋" w:hAnsi="仿宋" w:eastAsia="仿宋" w:cs="宋体"/>
          <w:kern w:val="0"/>
          <w:sz w:val="24"/>
          <w:szCs w:val="24"/>
        </w:rPr>
        <w:t>注２：不含１年，以下同。</w:t>
      </w:r>
    </w:p>
    <w:sectPr>
      <w:headerReference r:id="rId4" w:type="default"/>
      <w:footerReference r:id="rId5" w:type="default"/>
      <w:footerReference r:id="rId6" w:type="even"/>
      <w:pgSz w:w="11906" w:h="16838"/>
      <w:pgMar w:top="1440" w:right="1559"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7211"/>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p>
        </w:sdtContent>
      </w:sdt>
    </w:sdtContent>
  </w:sdt>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3"/>
        </w:rPr>
        <w:footnoteRef/>
      </w:r>
      <w:r>
        <w:rPr>
          <w:rFonts w:hint="eastAsia"/>
          <w:sz w:val="21"/>
          <w:szCs w:val="21"/>
        </w:rPr>
        <w:t>本规定所指的国有林场和苗圃，是指</w:t>
      </w:r>
      <w:r>
        <w:rPr>
          <w:rFonts w:hint="eastAsia" w:asciiTheme="minorEastAsia" w:hAnsiTheme="minorEastAsia"/>
          <w:color w:val="000000"/>
          <w:sz w:val="21"/>
          <w:szCs w:val="21"/>
        </w:rPr>
        <w:t>中华人民共和国境内各级人民政府设立的，从事保护培育森林资源、维护国家生态安全、提供生态服务，不以营利为目的、独立核算的公益性事业单位性质国有林场和苗圃。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4600575</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w:pict>
        <v:line id="直接连接符 2" o:spid="_x0000_s3074" o:spt="20" style="position:absolute;left:0pt;margin-left:422.55pt;margin-top:-7.45pt;height:0pt;width:2.25pt;z-index:251660288;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xz9bZAAAACwEAAA8AAAAA&#10;AAAAAQAgAAAAIgAAAGRycy9kb3ducmV2LnhtbFBLAQIUABQAAAAIAIdO4kDhOrYq2gEAAGwDAAAO&#10;AAAAAAAAAAEAIAAAACgBAABkcnMvZTJvRG9jLnhtbFBLBQYAAAAABgAGAFkBAAB0BQAAAAA=&#10;">
          <v:path arrowok="t"/>
          <v:fill on="f" focussize="0,0"/>
          <v:stroke weight="0.5pt" color="#5B9BD5" joinstyle="miter"/>
          <v:imagedata o:title=""/>
          <o:lock v:ext="edit" aspectratio="f"/>
        </v:line>
      </w:pic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1"/>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49876"/>
    <w:multiLevelType w:val="singleLevel"/>
    <w:tmpl w:val="59A498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0CD7"/>
    <w:rsid w:val="00005689"/>
    <w:rsid w:val="00006F95"/>
    <w:rsid w:val="00006FEA"/>
    <w:rsid w:val="00007B9F"/>
    <w:rsid w:val="00010B3A"/>
    <w:rsid w:val="00013849"/>
    <w:rsid w:val="00014C35"/>
    <w:rsid w:val="00016502"/>
    <w:rsid w:val="00017B2A"/>
    <w:rsid w:val="000205CF"/>
    <w:rsid w:val="000209C6"/>
    <w:rsid w:val="00022ECF"/>
    <w:rsid w:val="00023F19"/>
    <w:rsid w:val="00026ADA"/>
    <w:rsid w:val="0003382C"/>
    <w:rsid w:val="00034209"/>
    <w:rsid w:val="00035F1A"/>
    <w:rsid w:val="0003615D"/>
    <w:rsid w:val="0004076D"/>
    <w:rsid w:val="000413F5"/>
    <w:rsid w:val="000430E3"/>
    <w:rsid w:val="000432AA"/>
    <w:rsid w:val="000436BC"/>
    <w:rsid w:val="00043C7E"/>
    <w:rsid w:val="00044B6B"/>
    <w:rsid w:val="00050863"/>
    <w:rsid w:val="00050BDA"/>
    <w:rsid w:val="00051C92"/>
    <w:rsid w:val="0005366D"/>
    <w:rsid w:val="00054003"/>
    <w:rsid w:val="000556F7"/>
    <w:rsid w:val="0005603F"/>
    <w:rsid w:val="00060158"/>
    <w:rsid w:val="000602B0"/>
    <w:rsid w:val="00060D6D"/>
    <w:rsid w:val="0006138D"/>
    <w:rsid w:val="00061C68"/>
    <w:rsid w:val="000654C0"/>
    <w:rsid w:val="00067FEB"/>
    <w:rsid w:val="00070C31"/>
    <w:rsid w:val="00071510"/>
    <w:rsid w:val="00073423"/>
    <w:rsid w:val="00076A34"/>
    <w:rsid w:val="00081524"/>
    <w:rsid w:val="000829E3"/>
    <w:rsid w:val="00082B9D"/>
    <w:rsid w:val="00083B0C"/>
    <w:rsid w:val="000871D3"/>
    <w:rsid w:val="00090BC2"/>
    <w:rsid w:val="00090DDC"/>
    <w:rsid w:val="00091106"/>
    <w:rsid w:val="0009147F"/>
    <w:rsid w:val="00092DAC"/>
    <w:rsid w:val="0009473E"/>
    <w:rsid w:val="00095160"/>
    <w:rsid w:val="00095506"/>
    <w:rsid w:val="000A20DE"/>
    <w:rsid w:val="000A2E55"/>
    <w:rsid w:val="000A3BD5"/>
    <w:rsid w:val="000B11E7"/>
    <w:rsid w:val="000B1CC2"/>
    <w:rsid w:val="000B27D9"/>
    <w:rsid w:val="000B35AE"/>
    <w:rsid w:val="000B4B98"/>
    <w:rsid w:val="000B5CE6"/>
    <w:rsid w:val="000B6DCD"/>
    <w:rsid w:val="000B7A1A"/>
    <w:rsid w:val="000C1293"/>
    <w:rsid w:val="000C2B97"/>
    <w:rsid w:val="000C64DB"/>
    <w:rsid w:val="000C79F1"/>
    <w:rsid w:val="000D026F"/>
    <w:rsid w:val="000D2584"/>
    <w:rsid w:val="000D313F"/>
    <w:rsid w:val="000D4D9C"/>
    <w:rsid w:val="000E0C1C"/>
    <w:rsid w:val="000E1518"/>
    <w:rsid w:val="000E5B51"/>
    <w:rsid w:val="000F2833"/>
    <w:rsid w:val="000F5478"/>
    <w:rsid w:val="000F6E01"/>
    <w:rsid w:val="00101085"/>
    <w:rsid w:val="00101A54"/>
    <w:rsid w:val="00106A2E"/>
    <w:rsid w:val="00110BDC"/>
    <w:rsid w:val="001116EA"/>
    <w:rsid w:val="00111957"/>
    <w:rsid w:val="00114AF1"/>
    <w:rsid w:val="00114BEE"/>
    <w:rsid w:val="00116E92"/>
    <w:rsid w:val="00120B79"/>
    <w:rsid w:val="00122DD9"/>
    <w:rsid w:val="00124AEA"/>
    <w:rsid w:val="00125891"/>
    <w:rsid w:val="0012708C"/>
    <w:rsid w:val="001273BE"/>
    <w:rsid w:val="00127646"/>
    <w:rsid w:val="00132536"/>
    <w:rsid w:val="0013396F"/>
    <w:rsid w:val="00134DB9"/>
    <w:rsid w:val="001353E0"/>
    <w:rsid w:val="001365CD"/>
    <w:rsid w:val="001368D7"/>
    <w:rsid w:val="00137943"/>
    <w:rsid w:val="00141B4C"/>
    <w:rsid w:val="00142A7A"/>
    <w:rsid w:val="00143576"/>
    <w:rsid w:val="00143866"/>
    <w:rsid w:val="0015154D"/>
    <w:rsid w:val="00151945"/>
    <w:rsid w:val="00151ED4"/>
    <w:rsid w:val="001526A0"/>
    <w:rsid w:val="00154344"/>
    <w:rsid w:val="00154C34"/>
    <w:rsid w:val="00155EF5"/>
    <w:rsid w:val="00157DBD"/>
    <w:rsid w:val="00160540"/>
    <w:rsid w:val="00161D12"/>
    <w:rsid w:val="00164C1E"/>
    <w:rsid w:val="00166959"/>
    <w:rsid w:val="00167718"/>
    <w:rsid w:val="0017032E"/>
    <w:rsid w:val="001704FD"/>
    <w:rsid w:val="001712EA"/>
    <w:rsid w:val="0017645A"/>
    <w:rsid w:val="00176579"/>
    <w:rsid w:val="00181347"/>
    <w:rsid w:val="00182733"/>
    <w:rsid w:val="001840BD"/>
    <w:rsid w:val="00184806"/>
    <w:rsid w:val="00184958"/>
    <w:rsid w:val="00184FFD"/>
    <w:rsid w:val="00185C49"/>
    <w:rsid w:val="0018783F"/>
    <w:rsid w:val="00194E6B"/>
    <w:rsid w:val="001A1B15"/>
    <w:rsid w:val="001A3597"/>
    <w:rsid w:val="001A3F1D"/>
    <w:rsid w:val="001A48DA"/>
    <w:rsid w:val="001A52F1"/>
    <w:rsid w:val="001A5A6E"/>
    <w:rsid w:val="001B0FA0"/>
    <w:rsid w:val="001B13C0"/>
    <w:rsid w:val="001B43B7"/>
    <w:rsid w:val="001B44E9"/>
    <w:rsid w:val="001B52EA"/>
    <w:rsid w:val="001B549F"/>
    <w:rsid w:val="001B5659"/>
    <w:rsid w:val="001B57E4"/>
    <w:rsid w:val="001B5D28"/>
    <w:rsid w:val="001B6583"/>
    <w:rsid w:val="001B6E5C"/>
    <w:rsid w:val="001C189A"/>
    <w:rsid w:val="001C4A0B"/>
    <w:rsid w:val="001C645A"/>
    <w:rsid w:val="001C6CD1"/>
    <w:rsid w:val="001D1566"/>
    <w:rsid w:val="001D177F"/>
    <w:rsid w:val="001D3F07"/>
    <w:rsid w:val="001D7583"/>
    <w:rsid w:val="001E0BB0"/>
    <w:rsid w:val="001E4B4C"/>
    <w:rsid w:val="001E680C"/>
    <w:rsid w:val="001E787A"/>
    <w:rsid w:val="001F0F0C"/>
    <w:rsid w:val="001F1397"/>
    <w:rsid w:val="001F17B8"/>
    <w:rsid w:val="001F2BB8"/>
    <w:rsid w:val="001F2BBA"/>
    <w:rsid w:val="001F2CB4"/>
    <w:rsid w:val="001F651E"/>
    <w:rsid w:val="001F6644"/>
    <w:rsid w:val="001F7608"/>
    <w:rsid w:val="00200918"/>
    <w:rsid w:val="0020607C"/>
    <w:rsid w:val="00210A94"/>
    <w:rsid w:val="00214086"/>
    <w:rsid w:val="00217160"/>
    <w:rsid w:val="0022362D"/>
    <w:rsid w:val="0022602A"/>
    <w:rsid w:val="002267C3"/>
    <w:rsid w:val="0022695D"/>
    <w:rsid w:val="00226A5E"/>
    <w:rsid w:val="00230224"/>
    <w:rsid w:val="0023092E"/>
    <w:rsid w:val="00230964"/>
    <w:rsid w:val="00232900"/>
    <w:rsid w:val="002370E8"/>
    <w:rsid w:val="002419C7"/>
    <w:rsid w:val="00244267"/>
    <w:rsid w:val="00244A54"/>
    <w:rsid w:val="002479FE"/>
    <w:rsid w:val="002501F0"/>
    <w:rsid w:val="00250810"/>
    <w:rsid w:val="0025135F"/>
    <w:rsid w:val="0025357A"/>
    <w:rsid w:val="00253A19"/>
    <w:rsid w:val="00257694"/>
    <w:rsid w:val="002576BF"/>
    <w:rsid w:val="00257BE4"/>
    <w:rsid w:val="00260AC7"/>
    <w:rsid w:val="0026211A"/>
    <w:rsid w:val="0026323B"/>
    <w:rsid w:val="002657AB"/>
    <w:rsid w:val="00266794"/>
    <w:rsid w:val="002670C2"/>
    <w:rsid w:val="0027147E"/>
    <w:rsid w:val="002714FE"/>
    <w:rsid w:val="00274A2F"/>
    <w:rsid w:val="0027520A"/>
    <w:rsid w:val="00276144"/>
    <w:rsid w:val="00277E4E"/>
    <w:rsid w:val="002813DC"/>
    <w:rsid w:val="00281EC4"/>
    <w:rsid w:val="00282E5F"/>
    <w:rsid w:val="00290178"/>
    <w:rsid w:val="00290DAA"/>
    <w:rsid w:val="002914E9"/>
    <w:rsid w:val="002933A7"/>
    <w:rsid w:val="00295039"/>
    <w:rsid w:val="002A2C0D"/>
    <w:rsid w:val="002A5E88"/>
    <w:rsid w:val="002A6409"/>
    <w:rsid w:val="002A65CE"/>
    <w:rsid w:val="002A7687"/>
    <w:rsid w:val="002B128C"/>
    <w:rsid w:val="002B1900"/>
    <w:rsid w:val="002B2E24"/>
    <w:rsid w:val="002C0208"/>
    <w:rsid w:val="002C03E2"/>
    <w:rsid w:val="002C29AE"/>
    <w:rsid w:val="002C4837"/>
    <w:rsid w:val="002C4DA2"/>
    <w:rsid w:val="002C758E"/>
    <w:rsid w:val="002C7D99"/>
    <w:rsid w:val="002D1592"/>
    <w:rsid w:val="002D2812"/>
    <w:rsid w:val="002D4449"/>
    <w:rsid w:val="002D5F0E"/>
    <w:rsid w:val="002D6559"/>
    <w:rsid w:val="002E3A24"/>
    <w:rsid w:val="002E4927"/>
    <w:rsid w:val="002F1F7A"/>
    <w:rsid w:val="002F2035"/>
    <w:rsid w:val="002F215C"/>
    <w:rsid w:val="002F268B"/>
    <w:rsid w:val="002F29E9"/>
    <w:rsid w:val="002F374F"/>
    <w:rsid w:val="002F41F5"/>
    <w:rsid w:val="002F7B3B"/>
    <w:rsid w:val="003019C7"/>
    <w:rsid w:val="003054D7"/>
    <w:rsid w:val="00307C38"/>
    <w:rsid w:val="0031618A"/>
    <w:rsid w:val="003179B7"/>
    <w:rsid w:val="00320ADB"/>
    <w:rsid w:val="00323BC6"/>
    <w:rsid w:val="00323C87"/>
    <w:rsid w:val="00324E12"/>
    <w:rsid w:val="00324E6E"/>
    <w:rsid w:val="00325FC7"/>
    <w:rsid w:val="0032784A"/>
    <w:rsid w:val="00330EBF"/>
    <w:rsid w:val="0033423C"/>
    <w:rsid w:val="0033496F"/>
    <w:rsid w:val="0033533A"/>
    <w:rsid w:val="00335BCD"/>
    <w:rsid w:val="00335CB3"/>
    <w:rsid w:val="0033608A"/>
    <w:rsid w:val="003408EA"/>
    <w:rsid w:val="00342F5B"/>
    <w:rsid w:val="003437D4"/>
    <w:rsid w:val="00345548"/>
    <w:rsid w:val="00345E0C"/>
    <w:rsid w:val="003473CC"/>
    <w:rsid w:val="00347A1E"/>
    <w:rsid w:val="00350A86"/>
    <w:rsid w:val="0035167B"/>
    <w:rsid w:val="00352E99"/>
    <w:rsid w:val="0035409E"/>
    <w:rsid w:val="00354640"/>
    <w:rsid w:val="003558CD"/>
    <w:rsid w:val="00357803"/>
    <w:rsid w:val="00363AAD"/>
    <w:rsid w:val="0036407E"/>
    <w:rsid w:val="00371454"/>
    <w:rsid w:val="00371571"/>
    <w:rsid w:val="00371B15"/>
    <w:rsid w:val="00373B0C"/>
    <w:rsid w:val="00374D92"/>
    <w:rsid w:val="003750CF"/>
    <w:rsid w:val="00377D3F"/>
    <w:rsid w:val="00380F8C"/>
    <w:rsid w:val="003817CB"/>
    <w:rsid w:val="003820D0"/>
    <w:rsid w:val="003844E9"/>
    <w:rsid w:val="00384512"/>
    <w:rsid w:val="0039180E"/>
    <w:rsid w:val="00392143"/>
    <w:rsid w:val="0039337F"/>
    <w:rsid w:val="00394C82"/>
    <w:rsid w:val="00397041"/>
    <w:rsid w:val="003A1B87"/>
    <w:rsid w:val="003A1FCF"/>
    <w:rsid w:val="003A23A3"/>
    <w:rsid w:val="003A3417"/>
    <w:rsid w:val="003A55CA"/>
    <w:rsid w:val="003A5607"/>
    <w:rsid w:val="003B02EE"/>
    <w:rsid w:val="003B3310"/>
    <w:rsid w:val="003B339A"/>
    <w:rsid w:val="003B37EF"/>
    <w:rsid w:val="003B3C53"/>
    <w:rsid w:val="003C070B"/>
    <w:rsid w:val="003C0824"/>
    <w:rsid w:val="003C21A2"/>
    <w:rsid w:val="003C3DAF"/>
    <w:rsid w:val="003C3E7D"/>
    <w:rsid w:val="003C708E"/>
    <w:rsid w:val="003D2303"/>
    <w:rsid w:val="003D2709"/>
    <w:rsid w:val="003D3147"/>
    <w:rsid w:val="003D49BE"/>
    <w:rsid w:val="003D4BA2"/>
    <w:rsid w:val="003D682E"/>
    <w:rsid w:val="003E2628"/>
    <w:rsid w:val="003E38C4"/>
    <w:rsid w:val="003E4963"/>
    <w:rsid w:val="003E551A"/>
    <w:rsid w:val="003F118B"/>
    <w:rsid w:val="003F206E"/>
    <w:rsid w:val="003F41A3"/>
    <w:rsid w:val="003F42C3"/>
    <w:rsid w:val="003F5680"/>
    <w:rsid w:val="003F6D11"/>
    <w:rsid w:val="004005B2"/>
    <w:rsid w:val="00400BC1"/>
    <w:rsid w:val="00401142"/>
    <w:rsid w:val="004026A9"/>
    <w:rsid w:val="00403134"/>
    <w:rsid w:val="00403D9D"/>
    <w:rsid w:val="0040449B"/>
    <w:rsid w:val="0040703B"/>
    <w:rsid w:val="00410486"/>
    <w:rsid w:val="00411405"/>
    <w:rsid w:val="004122E7"/>
    <w:rsid w:val="0041287C"/>
    <w:rsid w:val="00414428"/>
    <w:rsid w:val="00415206"/>
    <w:rsid w:val="00415AD0"/>
    <w:rsid w:val="0041785C"/>
    <w:rsid w:val="00417CA8"/>
    <w:rsid w:val="00423623"/>
    <w:rsid w:val="00424267"/>
    <w:rsid w:val="004317E7"/>
    <w:rsid w:val="00431AFC"/>
    <w:rsid w:val="0043291D"/>
    <w:rsid w:val="0043377D"/>
    <w:rsid w:val="00436EBC"/>
    <w:rsid w:val="00440E1C"/>
    <w:rsid w:val="00450A1C"/>
    <w:rsid w:val="004513D0"/>
    <w:rsid w:val="00452430"/>
    <w:rsid w:val="00452459"/>
    <w:rsid w:val="004524D1"/>
    <w:rsid w:val="00453A2C"/>
    <w:rsid w:val="00453F9E"/>
    <w:rsid w:val="00455642"/>
    <w:rsid w:val="00455E93"/>
    <w:rsid w:val="004573D7"/>
    <w:rsid w:val="004612BD"/>
    <w:rsid w:val="00461DB5"/>
    <w:rsid w:val="004638C0"/>
    <w:rsid w:val="004640D7"/>
    <w:rsid w:val="0046478B"/>
    <w:rsid w:val="00475C48"/>
    <w:rsid w:val="004779F2"/>
    <w:rsid w:val="0048068B"/>
    <w:rsid w:val="00481713"/>
    <w:rsid w:val="00483FB3"/>
    <w:rsid w:val="00487FAD"/>
    <w:rsid w:val="004901D8"/>
    <w:rsid w:val="004916EC"/>
    <w:rsid w:val="00491DED"/>
    <w:rsid w:val="00493FBA"/>
    <w:rsid w:val="0049495D"/>
    <w:rsid w:val="0049530C"/>
    <w:rsid w:val="004961A8"/>
    <w:rsid w:val="004962A7"/>
    <w:rsid w:val="004975AE"/>
    <w:rsid w:val="004A299D"/>
    <w:rsid w:val="004A64E6"/>
    <w:rsid w:val="004B1F50"/>
    <w:rsid w:val="004B20DA"/>
    <w:rsid w:val="004B3399"/>
    <w:rsid w:val="004B40BC"/>
    <w:rsid w:val="004B49DD"/>
    <w:rsid w:val="004B5CA4"/>
    <w:rsid w:val="004B6E4C"/>
    <w:rsid w:val="004C050B"/>
    <w:rsid w:val="004C0735"/>
    <w:rsid w:val="004C0D32"/>
    <w:rsid w:val="004C291A"/>
    <w:rsid w:val="004C2DDA"/>
    <w:rsid w:val="004C66DA"/>
    <w:rsid w:val="004C77FB"/>
    <w:rsid w:val="004D33F0"/>
    <w:rsid w:val="004D342A"/>
    <w:rsid w:val="004D4901"/>
    <w:rsid w:val="004D4C06"/>
    <w:rsid w:val="004D6C69"/>
    <w:rsid w:val="004D7EA1"/>
    <w:rsid w:val="004E0812"/>
    <w:rsid w:val="004E11CD"/>
    <w:rsid w:val="004E13E1"/>
    <w:rsid w:val="004E23C0"/>
    <w:rsid w:val="004E3CEF"/>
    <w:rsid w:val="004E443E"/>
    <w:rsid w:val="004E4DB2"/>
    <w:rsid w:val="004E5B7E"/>
    <w:rsid w:val="004E64CD"/>
    <w:rsid w:val="004E6D0B"/>
    <w:rsid w:val="004E76BE"/>
    <w:rsid w:val="004F52E6"/>
    <w:rsid w:val="004F6879"/>
    <w:rsid w:val="00500788"/>
    <w:rsid w:val="00500A26"/>
    <w:rsid w:val="005040C5"/>
    <w:rsid w:val="00507B93"/>
    <w:rsid w:val="00507EC5"/>
    <w:rsid w:val="005105F4"/>
    <w:rsid w:val="00510D5B"/>
    <w:rsid w:val="00512368"/>
    <w:rsid w:val="00513C3B"/>
    <w:rsid w:val="0051592F"/>
    <w:rsid w:val="00524DAD"/>
    <w:rsid w:val="0053116D"/>
    <w:rsid w:val="005323CC"/>
    <w:rsid w:val="00533527"/>
    <w:rsid w:val="0053364E"/>
    <w:rsid w:val="005400C4"/>
    <w:rsid w:val="00544828"/>
    <w:rsid w:val="0054488D"/>
    <w:rsid w:val="00544CAA"/>
    <w:rsid w:val="00545A20"/>
    <w:rsid w:val="00545D89"/>
    <w:rsid w:val="00546031"/>
    <w:rsid w:val="00546976"/>
    <w:rsid w:val="0056577F"/>
    <w:rsid w:val="005752AF"/>
    <w:rsid w:val="005768DA"/>
    <w:rsid w:val="00576B9D"/>
    <w:rsid w:val="00576C71"/>
    <w:rsid w:val="005869D9"/>
    <w:rsid w:val="005878CD"/>
    <w:rsid w:val="00587EE5"/>
    <w:rsid w:val="00591392"/>
    <w:rsid w:val="005947D1"/>
    <w:rsid w:val="00594D59"/>
    <w:rsid w:val="00595700"/>
    <w:rsid w:val="00595895"/>
    <w:rsid w:val="00596A5C"/>
    <w:rsid w:val="00597CE9"/>
    <w:rsid w:val="00597E54"/>
    <w:rsid w:val="00597ED7"/>
    <w:rsid w:val="005A0E4B"/>
    <w:rsid w:val="005A1939"/>
    <w:rsid w:val="005A4F1E"/>
    <w:rsid w:val="005A5B84"/>
    <w:rsid w:val="005A7ACE"/>
    <w:rsid w:val="005A7C53"/>
    <w:rsid w:val="005B0E1C"/>
    <w:rsid w:val="005B4CD9"/>
    <w:rsid w:val="005B51BF"/>
    <w:rsid w:val="005B7A08"/>
    <w:rsid w:val="005C04DF"/>
    <w:rsid w:val="005C26C0"/>
    <w:rsid w:val="005C523C"/>
    <w:rsid w:val="005C5916"/>
    <w:rsid w:val="005C6210"/>
    <w:rsid w:val="005C7390"/>
    <w:rsid w:val="005C7948"/>
    <w:rsid w:val="005D0C6E"/>
    <w:rsid w:val="005D1E7F"/>
    <w:rsid w:val="005D340C"/>
    <w:rsid w:val="005D4195"/>
    <w:rsid w:val="005E0E5B"/>
    <w:rsid w:val="005E404F"/>
    <w:rsid w:val="005E4480"/>
    <w:rsid w:val="005E56CC"/>
    <w:rsid w:val="005F0A26"/>
    <w:rsid w:val="005F1F61"/>
    <w:rsid w:val="005F257D"/>
    <w:rsid w:val="005F4F8E"/>
    <w:rsid w:val="005F5EAC"/>
    <w:rsid w:val="006001E3"/>
    <w:rsid w:val="006043AE"/>
    <w:rsid w:val="006046B5"/>
    <w:rsid w:val="00605250"/>
    <w:rsid w:val="0060764A"/>
    <w:rsid w:val="0060783A"/>
    <w:rsid w:val="0061252A"/>
    <w:rsid w:val="0061314D"/>
    <w:rsid w:val="006148A0"/>
    <w:rsid w:val="00615D5B"/>
    <w:rsid w:val="0061749A"/>
    <w:rsid w:val="00620CBC"/>
    <w:rsid w:val="00622F12"/>
    <w:rsid w:val="00624F85"/>
    <w:rsid w:val="00625294"/>
    <w:rsid w:val="00625408"/>
    <w:rsid w:val="006265AB"/>
    <w:rsid w:val="00626AC7"/>
    <w:rsid w:val="00626DD2"/>
    <w:rsid w:val="00627A56"/>
    <w:rsid w:val="0063270C"/>
    <w:rsid w:val="00632A05"/>
    <w:rsid w:val="00637707"/>
    <w:rsid w:val="00640921"/>
    <w:rsid w:val="006417BA"/>
    <w:rsid w:val="00642AFA"/>
    <w:rsid w:val="006431D8"/>
    <w:rsid w:val="00644B12"/>
    <w:rsid w:val="0064619B"/>
    <w:rsid w:val="00647516"/>
    <w:rsid w:val="00647F82"/>
    <w:rsid w:val="00650B19"/>
    <w:rsid w:val="00652C67"/>
    <w:rsid w:val="0065489E"/>
    <w:rsid w:val="006549DF"/>
    <w:rsid w:val="00655ACF"/>
    <w:rsid w:val="00655F6C"/>
    <w:rsid w:val="006612D1"/>
    <w:rsid w:val="0066584B"/>
    <w:rsid w:val="0066764A"/>
    <w:rsid w:val="00671472"/>
    <w:rsid w:val="00673F32"/>
    <w:rsid w:val="00677004"/>
    <w:rsid w:val="00677AA2"/>
    <w:rsid w:val="00681E45"/>
    <w:rsid w:val="00685782"/>
    <w:rsid w:val="006910B9"/>
    <w:rsid w:val="006922E2"/>
    <w:rsid w:val="006945ED"/>
    <w:rsid w:val="00696A86"/>
    <w:rsid w:val="006A038D"/>
    <w:rsid w:val="006A0DF8"/>
    <w:rsid w:val="006A2E8D"/>
    <w:rsid w:val="006A4F45"/>
    <w:rsid w:val="006B082F"/>
    <w:rsid w:val="006B6745"/>
    <w:rsid w:val="006C0535"/>
    <w:rsid w:val="006C1C35"/>
    <w:rsid w:val="006C383F"/>
    <w:rsid w:val="006C3F65"/>
    <w:rsid w:val="006C4199"/>
    <w:rsid w:val="006C470C"/>
    <w:rsid w:val="006C4AC6"/>
    <w:rsid w:val="006C4E61"/>
    <w:rsid w:val="006C5651"/>
    <w:rsid w:val="006C6D2F"/>
    <w:rsid w:val="006D1C7F"/>
    <w:rsid w:val="006D3E23"/>
    <w:rsid w:val="006D5DA2"/>
    <w:rsid w:val="006E073A"/>
    <w:rsid w:val="006E13F5"/>
    <w:rsid w:val="006E28B3"/>
    <w:rsid w:val="006E2E54"/>
    <w:rsid w:val="006E3887"/>
    <w:rsid w:val="006E5A49"/>
    <w:rsid w:val="006E5DD8"/>
    <w:rsid w:val="006E612A"/>
    <w:rsid w:val="006E754B"/>
    <w:rsid w:val="006F0666"/>
    <w:rsid w:val="006F2225"/>
    <w:rsid w:val="006F3F20"/>
    <w:rsid w:val="006F40D1"/>
    <w:rsid w:val="006F4257"/>
    <w:rsid w:val="006F5F10"/>
    <w:rsid w:val="006F657C"/>
    <w:rsid w:val="006F6C1F"/>
    <w:rsid w:val="007063DD"/>
    <w:rsid w:val="00706AAB"/>
    <w:rsid w:val="007107DD"/>
    <w:rsid w:val="00711D47"/>
    <w:rsid w:val="00715776"/>
    <w:rsid w:val="00715C74"/>
    <w:rsid w:val="007176ED"/>
    <w:rsid w:val="0072110F"/>
    <w:rsid w:val="00721637"/>
    <w:rsid w:val="00723FC4"/>
    <w:rsid w:val="00724A39"/>
    <w:rsid w:val="00733510"/>
    <w:rsid w:val="00733646"/>
    <w:rsid w:val="0073672C"/>
    <w:rsid w:val="00740110"/>
    <w:rsid w:val="00741566"/>
    <w:rsid w:val="00741697"/>
    <w:rsid w:val="007416A3"/>
    <w:rsid w:val="0074240E"/>
    <w:rsid w:val="007459C9"/>
    <w:rsid w:val="00745F52"/>
    <w:rsid w:val="007477A4"/>
    <w:rsid w:val="00747C3D"/>
    <w:rsid w:val="007518CB"/>
    <w:rsid w:val="00756290"/>
    <w:rsid w:val="00756B87"/>
    <w:rsid w:val="00760F84"/>
    <w:rsid w:val="00762109"/>
    <w:rsid w:val="00763E89"/>
    <w:rsid w:val="007648C3"/>
    <w:rsid w:val="00765C35"/>
    <w:rsid w:val="00771E9C"/>
    <w:rsid w:val="00773BE8"/>
    <w:rsid w:val="00773C9A"/>
    <w:rsid w:val="00774739"/>
    <w:rsid w:val="007749E1"/>
    <w:rsid w:val="0077577D"/>
    <w:rsid w:val="00775B0F"/>
    <w:rsid w:val="00776B7F"/>
    <w:rsid w:val="00780E75"/>
    <w:rsid w:val="007834AE"/>
    <w:rsid w:val="007849EC"/>
    <w:rsid w:val="0078700F"/>
    <w:rsid w:val="0078746A"/>
    <w:rsid w:val="00787E84"/>
    <w:rsid w:val="00790B98"/>
    <w:rsid w:val="00791C2E"/>
    <w:rsid w:val="00792002"/>
    <w:rsid w:val="00792414"/>
    <w:rsid w:val="007930BD"/>
    <w:rsid w:val="007937EA"/>
    <w:rsid w:val="00795D05"/>
    <w:rsid w:val="00796B0D"/>
    <w:rsid w:val="0079777C"/>
    <w:rsid w:val="007A1B63"/>
    <w:rsid w:val="007A27E8"/>
    <w:rsid w:val="007A2925"/>
    <w:rsid w:val="007A2CC4"/>
    <w:rsid w:val="007A54CD"/>
    <w:rsid w:val="007A6412"/>
    <w:rsid w:val="007A73FF"/>
    <w:rsid w:val="007B37C4"/>
    <w:rsid w:val="007B4E9C"/>
    <w:rsid w:val="007B5235"/>
    <w:rsid w:val="007B531F"/>
    <w:rsid w:val="007B533C"/>
    <w:rsid w:val="007B77F1"/>
    <w:rsid w:val="007C0566"/>
    <w:rsid w:val="007C2CC6"/>
    <w:rsid w:val="007C30D3"/>
    <w:rsid w:val="007C360A"/>
    <w:rsid w:val="007C48B0"/>
    <w:rsid w:val="007C66F7"/>
    <w:rsid w:val="007D67B0"/>
    <w:rsid w:val="007D7442"/>
    <w:rsid w:val="007E0D40"/>
    <w:rsid w:val="007E14B3"/>
    <w:rsid w:val="007E214E"/>
    <w:rsid w:val="007E362F"/>
    <w:rsid w:val="007E46C3"/>
    <w:rsid w:val="007E4E82"/>
    <w:rsid w:val="007E755B"/>
    <w:rsid w:val="007E7DA4"/>
    <w:rsid w:val="007F11BC"/>
    <w:rsid w:val="007F1E85"/>
    <w:rsid w:val="007F277A"/>
    <w:rsid w:val="007F3313"/>
    <w:rsid w:val="007F7760"/>
    <w:rsid w:val="007F7C76"/>
    <w:rsid w:val="00802D70"/>
    <w:rsid w:val="00803138"/>
    <w:rsid w:val="008036EC"/>
    <w:rsid w:val="00805100"/>
    <w:rsid w:val="00805EBB"/>
    <w:rsid w:val="00806D3C"/>
    <w:rsid w:val="00806EEE"/>
    <w:rsid w:val="008077AF"/>
    <w:rsid w:val="00807E14"/>
    <w:rsid w:val="00814E7F"/>
    <w:rsid w:val="00814EBD"/>
    <w:rsid w:val="0081529E"/>
    <w:rsid w:val="00816055"/>
    <w:rsid w:val="0081655F"/>
    <w:rsid w:val="008165D4"/>
    <w:rsid w:val="00820083"/>
    <w:rsid w:val="008203E7"/>
    <w:rsid w:val="00825052"/>
    <w:rsid w:val="00827D9A"/>
    <w:rsid w:val="00827E06"/>
    <w:rsid w:val="008302A4"/>
    <w:rsid w:val="0083095D"/>
    <w:rsid w:val="00831921"/>
    <w:rsid w:val="0083338B"/>
    <w:rsid w:val="00834562"/>
    <w:rsid w:val="00834B42"/>
    <w:rsid w:val="00834B5D"/>
    <w:rsid w:val="00835DDB"/>
    <w:rsid w:val="00840392"/>
    <w:rsid w:val="0084127A"/>
    <w:rsid w:val="008510D9"/>
    <w:rsid w:val="0085131A"/>
    <w:rsid w:val="0085138A"/>
    <w:rsid w:val="008534A6"/>
    <w:rsid w:val="008550E7"/>
    <w:rsid w:val="008559AF"/>
    <w:rsid w:val="00860F4C"/>
    <w:rsid w:val="00863867"/>
    <w:rsid w:val="00863BAF"/>
    <w:rsid w:val="0086635C"/>
    <w:rsid w:val="00867415"/>
    <w:rsid w:val="008754AC"/>
    <w:rsid w:val="00875E83"/>
    <w:rsid w:val="00876A85"/>
    <w:rsid w:val="00877440"/>
    <w:rsid w:val="00877AB4"/>
    <w:rsid w:val="00881C4A"/>
    <w:rsid w:val="0088210F"/>
    <w:rsid w:val="00882EAD"/>
    <w:rsid w:val="00883CF5"/>
    <w:rsid w:val="00884973"/>
    <w:rsid w:val="0088576E"/>
    <w:rsid w:val="008865D1"/>
    <w:rsid w:val="00886912"/>
    <w:rsid w:val="00886B0A"/>
    <w:rsid w:val="00887C6F"/>
    <w:rsid w:val="00887FCF"/>
    <w:rsid w:val="0089062B"/>
    <w:rsid w:val="00892648"/>
    <w:rsid w:val="00892BD1"/>
    <w:rsid w:val="00893E72"/>
    <w:rsid w:val="00894EA0"/>
    <w:rsid w:val="00895FE3"/>
    <w:rsid w:val="00896A46"/>
    <w:rsid w:val="008A0409"/>
    <w:rsid w:val="008A06CE"/>
    <w:rsid w:val="008A28C1"/>
    <w:rsid w:val="008A3A44"/>
    <w:rsid w:val="008A4690"/>
    <w:rsid w:val="008A545D"/>
    <w:rsid w:val="008B04ED"/>
    <w:rsid w:val="008B1EAC"/>
    <w:rsid w:val="008B576D"/>
    <w:rsid w:val="008B61F8"/>
    <w:rsid w:val="008B6672"/>
    <w:rsid w:val="008C0FB0"/>
    <w:rsid w:val="008C122C"/>
    <w:rsid w:val="008C1980"/>
    <w:rsid w:val="008C2374"/>
    <w:rsid w:val="008C2C52"/>
    <w:rsid w:val="008C3F58"/>
    <w:rsid w:val="008C478F"/>
    <w:rsid w:val="008C62C5"/>
    <w:rsid w:val="008C6BEC"/>
    <w:rsid w:val="008C6E68"/>
    <w:rsid w:val="008C72BA"/>
    <w:rsid w:val="008C734E"/>
    <w:rsid w:val="008D0824"/>
    <w:rsid w:val="008D17E4"/>
    <w:rsid w:val="008D1AA2"/>
    <w:rsid w:val="008D2227"/>
    <w:rsid w:val="008D22F9"/>
    <w:rsid w:val="008D3CEE"/>
    <w:rsid w:val="008D4136"/>
    <w:rsid w:val="008D5784"/>
    <w:rsid w:val="008D697F"/>
    <w:rsid w:val="008E101F"/>
    <w:rsid w:val="008E2527"/>
    <w:rsid w:val="008E3D55"/>
    <w:rsid w:val="008E4860"/>
    <w:rsid w:val="008E57BA"/>
    <w:rsid w:val="008E72ED"/>
    <w:rsid w:val="008F0616"/>
    <w:rsid w:val="008F18A2"/>
    <w:rsid w:val="008F3034"/>
    <w:rsid w:val="008F30C3"/>
    <w:rsid w:val="008F4D90"/>
    <w:rsid w:val="008F5B8C"/>
    <w:rsid w:val="008F6006"/>
    <w:rsid w:val="008F6F4A"/>
    <w:rsid w:val="008F7F78"/>
    <w:rsid w:val="009009D6"/>
    <w:rsid w:val="00901E8C"/>
    <w:rsid w:val="00903C40"/>
    <w:rsid w:val="00903F8F"/>
    <w:rsid w:val="00905704"/>
    <w:rsid w:val="009071C3"/>
    <w:rsid w:val="00910EBA"/>
    <w:rsid w:val="0091122B"/>
    <w:rsid w:val="00912620"/>
    <w:rsid w:val="0091455A"/>
    <w:rsid w:val="00914E5C"/>
    <w:rsid w:val="009150FD"/>
    <w:rsid w:val="00916BC7"/>
    <w:rsid w:val="0092250A"/>
    <w:rsid w:val="00923848"/>
    <w:rsid w:val="009241BF"/>
    <w:rsid w:val="009249D8"/>
    <w:rsid w:val="00924AA3"/>
    <w:rsid w:val="0092577B"/>
    <w:rsid w:val="00925935"/>
    <w:rsid w:val="00930FCE"/>
    <w:rsid w:val="00931815"/>
    <w:rsid w:val="00933248"/>
    <w:rsid w:val="009352E6"/>
    <w:rsid w:val="009356C0"/>
    <w:rsid w:val="00937601"/>
    <w:rsid w:val="009412E0"/>
    <w:rsid w:val="00943246"/>
    <w:rsid w:val="00946348"/>
    <w:rsid w:val="00946BCD"/>
    <w:rsid w:val="0094713B"/>
    <w:rsid w:val="0095415C"/>
    <w:rsid w:val="0095612B"/>
    <w:rsid w:val="00956F9B"/>
    <w:rsid w:val="00957AC2"/>
    <w:rsid w:val="00957B74"/>
    <w:rsid w:val="00961E4C"/>
    <w:rsid w:val="009658BB"/>
    <w:rsid w:val="00966F3E"/>
    <w:rsid w:val="00971367"/>
    <w:rsid w:val="009713BD"/>
    <w:rsid w:val="00971DA2"/>
    <w:rsid w:val="009813DB"/>
    <w:rsid w:val="0098160B"/>
    <w:rsid w:val="009869CC"/>
    <w:rsid w:val="009957E1"/>
    <w:rsid w:val="00995A3C"/>
    <w:rsid w:val="009A4AD1"/>
    <w:rsid w:val="009A6B73"/>
    <w:rsid w:val="009B2696"/>
    <w:rsid w:val="009B6E2C"/>
    <w:rsid w:val="009C009D"/>
    <w:rsid w:val="009C223C"/>
    <w:rsid w:val="009C3139"/>
    <w:rsid w:val="009C5BEE"/>
    <w:rsid w:val="009C7944"/>
    <w:rsid w:val="009C7D58"/>
    <w:rsid w:val="009D30DC"/>
    <w:rsid w:val="009D4292"/>
    <w:rsid w:val="009D4F28"/>
    <w:rsid w:val="009D570B"/>
    <w:rsid w:val="009E5BB2"/>
    <w:rsid w:val="009E61F6"/>
    <w:rsid w:val="009E6F7C"/>
    <w:rsid w:val="009F1F9D"/>
    <w:rsid w:val="009F4573"/>
    <w:rsid w:val="009F4C90"/>
    <w:rsid w:val="009F5AF7"/>
    <w:rsid w:val="009F6012"/>
    <w:rsid w:val="009F7906"/>
    <w:rsid w:val="009F7B64"/>
    <w:rsid w:val="00A0153C"/>
    <w:rsid w:val="00A02286"/>
    <w:rsid w:val="00A024C6"/>
    <w:rsid w:val="00A03B53"/>
    <w:rsid w:val="00A064F2"/>
    <w:rsid w:val="00A0728B"/>
    <w:rsid w:val="00A10CF5"/>
    <w:rsid w:val="00A11003"/>
    <w:rsid w:val="00A12486"/>
    <w:rsid w:val="00A129A7"/>
    <w:rsid w:val="00A12B47"/>
    <w:rsid w:val="00A13228"/>
    <w:rsid w:val="00A143EA"/>
    <w:rsid w:val="00A17D5F"/>
    <w:rsid w:val="00A20847"/>
    <w:rsid w:val="00A21E75"/>
    <w:rsid w:val="00A25BDC"/>
    <w:rsid w:val="00A26703"/>
    <w:rsid w:val="00A27814"/>
    <w:rsid w:val="00A3078F"/>
    <w:rsid w:val="00A315E0"/>
    <w:rsid w:val="00A339D0"/>
    <w:rsid w:val="00A34904"/>
    <w:rsid w:val="00A3654E"/>
    <w:rsid w:val="00A40490"/>
    <w:rsid w:val="00A4068F"/>
    <w:rsid w:val="00A40711"/>
    <w:rsid w:val="00A41CD7"/>
    <w:rsid w:val="00A436C8"/>
    <w:rsid w:val="00A43B33"/>
    <w:rsid w:val="00A43B82"/>
    <w:rsid w:val="00A45F44"/>
    <w:rsid w:val="00A46428"/>
    <w:rsid w:val="00A467AD"/>
    <w:rsid w:val="00A47564"/>
    <w:rsid w:val="00A54E09"/>
    <w:rsid w:val="00A55075"/>
    <w:rsid w:val="00A56240"/>
    <w:rsid w:val="00A57751"/>
    <w:rsid w:val="00A60868"/>
    <w:rsid w:val="00A615D6"/>
    <w:rsid w:val="00A626C9"/>
    <w:rsid w:val="00A627D8"/>
    <w:rsid w:val="00A6325A"/>
    <w:rsid w:val="00A662F9"/>
    <w:rsid w:val="00A668AA"/>
    <w:rsid w:val="00A72618"/>
    <w:rsid w:val="00A72ED3"/>
    <w:rsid w:val="00A73F53"/>
    <w:rsid w:val="00A74491"/>
    <w:rsid w:val="00A74856"/>
    <w:rsid w:val="00A7703B"/>
    <w:rsid w:val="00A771C4"/>
    <w:rsid w:val="00A82291"/>
    <w:rsid w:val="00A82A73"/>
    <w:rsid w:val="00A852B3"/>
    <w:rsid w:val="00A87E77"/>
    <w:rsid w:val="00A901C6"/>
    <w:rsid w:val="00A91D5A"/>
    <w:rsid w:val="00A95408"/>
    <w:rsid w:val="00A964B0"/>
    <w:rsid w:val="00A979D2"/>
    <w:rsid w:val="00AA06D8"/>
    <w:rsid w:val="00AA0F4F"/>
    <w:rsid w:val="00AA1A9A"/>
    <w:rsid w:val="00AA30F1"/>
    <w:rsid w:val="00AA49CA"/>
    <w:rsid w:val="00AA686D"/>
    <w:rsid w:val="00AB143A"/>
    <w:rsid w:val="00AB3B64"/>
    <w:rsid w:val="00AB6391"/>
    <w:rsid w:val="00AB7866"/>
    <w:rsid w:val="00AB7890"/>
    <w:rsid w:val="00AC21FA"/>
    <w:rsid w:val="00AC3D67"/>
    <w:rsid w:val="00AC3E4C"/>
    <w:rsid w:val="00AC47A3"/>
    <w:rsid w:val="00AC4CE3"/>
    <w:rsid w:val="00AC5290"/>
    <w:rsid w:val="00AD2EAE"/>
    <w:rsid w:val="00AD4F76"/>
    <w:rsid w:val="00AD58FB"/>
    <w:rsid w:val="00AD6354"/>
    <w:rsid w:val="00AE0462"/>
    <w:rsid w:val="00AE10AF"/>
    <w:rsid w:val="00AE1A8E"/>
    <w:rsid w:val="00AE2022"/>
    <w:rsid w:val="00AE24D5"/>
    <w:rsid w:val="00AE5A90"/>
    <w:rsid w:val="00AE6B85"/>
    <w:rsid w:val="00AE72A9"/>
    <w:rsid w:val="00AF0839"/>
    <w:rsid w:val="00AF48D1"/>
    <w:rsid w:val="00AF763A"/>
    <w:rsid w:val="00B00681"/>
    <w:rsid w:val="00B00B2E"/>
    <w:rsid w:val="00B01371"/>
    <w:rsid w:val="00B053DC"/>
    <w:rsid w:val="00B05955"/>
    <w:rsid w:val="00B112BD"/>
    <w:rsid w:val="00B125E3"/>
    <w:rsid w:val="00B15F14"/>
    <w:rsid w:val="00B16A93"/>
    <w:rsid w:val="00B21A89"/>
    <w:rsid w:val="00B23C07"/>
    <w:rsid w:val="00B2451C"/>
    <w:rsid w:val="00B27916"/>
    <w:rsid w:val="00B310F8"/>
    <w:rsid w:val="00B313B2"/>
    <w:rsid w:val="00B320B7"/>
    <w:rsid w:val="00B3413B"/>
    <w:rsid w:val="00B342AF"/>
    <w:rsid w:val="00B35268"/>
    <w:rsid w:val="00B35708"/>
    <w:rsid w:val="00B3688D"/>
    <w:rsid w:val="00B3729D"/>
    <w:rsid w:val="00B41B4D"/>
    <w:rsid w:val="00B43799"/>
    <w:rsid w:val="00B469C0"/>
    <w:rsid w:val="00B47582"/>
    <w:rsid w:val="00B4795F"/>
    <w:rsid w:val="00B47C50"/>
    <w:rsid w:val="00B53387"/>
    <w:rsid w:val="00B55CD8"/>
    <w:rsid w:val="00B57D02"/>
    <w:rsid w:val="00B6124D"/>
    <w:rsid w:val="00B61E3E"/>
    <w:rsid w:val="00B71214"/>
    <w:rsid w:val="00B71AAA"/>
    <w:rsid w:val="00B74C7B"/>
    <w:rsid w:val="00B769EB"/>
    <w:rsid w:val="00B77806"/>
    <w:rsid w:val="00B77A69"/>
    <w:rsid w:val="00B8067B"/>
    <w:rsid w:val="00B8088E"/>
    <w:rsid w:val="00B81EFD"/>
    <w:rsid w:val="00B8499A"/>
    <w:rsid w:val="00B84A24"/>
    <w:rsid w:val="00B84B0C"/>
    <w:rsid w:val="00B85184"/>
    <w:rsid w:val="00B86BC5"/>
    <w:rsid w:val="00B90CF9"/>
    <w:rsid w:val="00B96EF4"/>
    <w:rsid w:val="00BA6116"/>
    <w:rsid w:val="00BB0C81"/>
    <w:rsid w:val="00BB1D2B"/>
    <w:rsid w:val="00BB25C2"/>
    <w:rsid w:val="00BB3490"/>
    <w:rsid w:val="00BB55D4"/>
    <w:rsid w:val="00BB5F1E"/>
    <w:rsid w:val="00BC091A"/>
    <w:rsid w:val="00BD0752"/>
    <w:rsid w:val="00BD782C"/>
    <w:rsid w:val="00BD78A4"/>
    <w:rsid w:val="00BE08AB"/>
    <w:rsid w:val="00BE1105"/>
    <w:rsid w:val="00BE1434"/>
    <w:rsid w:val="00BE51D5"/>
    <w:rsid w:val="00BF2700"/>
    <w:rsid w:val="00BF2DE5"/>
    <w:rsid w:val="00BF3C3E"/>
    <w:rsid w:val="00BF500C"/>
    <w:rsid w:val="00BF5BAD"/>
    <w:rsid w:val="00BF7810"/>
    <w:rsid w:val="00BF7E2C"/>
    <w:rsid w:val="00C02A43"/>
    <w:rsid w:val="00C0410E"/>
    <w:rsid w:val="00C04147"/>
    <w:rsid w:val="00C04FDF"/>
    <w:rsid w:val="00C0654D"/>
    <w:rsid w:val="00C07AE6"/>
    <w:rsid w:val="00C14668"/>
    <w:rsid w:val="00C15FED"/>
    <w:rsid w:val="00C1611F"/>
    <w:rsid w:val="00C1615B"/>
    <w:rsid w:val="00C16212"/>
    <w:rsid w:val="00C16CA0"/>
    <w:rsid w:val="00C16EF0"/>
    <w:rsid w:val="00C20646"/>
    <w:rsid w:val="00C20AE8"/>
    <w:rsid w:val="00C21AEB"/>
    <w:rsid w:val="00C23F8D"/>
    <w:rsid w:val="00C245C6"/>
    <w:rsid w:val="00C25CF2"/>
    <w:rsid w:val="00C25FB8"/>
    <w:rsid w:val="00C261F7"/>
    <w:rsid w:val="00C26B75"/>
    <w:rsid w:val="00C326FB"/>
    <w:rsid w:val="00C32930"/>
    <w:rsid w:val="00C32DB9"/>
    <w:rsid w:val="00C34AA4"/>
    <w:rsid w:val="00C3512F"/>
    <w:rsid w:val="00C40483"/>
    <w:rsid w:val="00C409BE"/>
    <w:rsid w:val="00C4197E"/>
    <w:rsid w:val="00C422E4"/>
    <w:rsid w:val="00C423A5"/>
    <w:rsid w:val="00C42E51"/>
    <w:rsid w:val="00C45B3E"/>
    <w:rsid w:val="00C469E5"/>
    <w:rsid w:val="00C47DC4"/>
    <w:rsid w:val="00C52F7F"/>
    <w:rsid w:val="00C5485A"/>
    <w:rsid w:val="00C60EAC"/>
    <w:rsid w:val="00C66103"/>
    <w:rsid w:val="00C72E20"/>
    <w:rsid w:val="00C74C86"/>
    <w:rsid w:val="00C758EB"/>
    <w:rsid w:val="00C76D2F"/>
    <w:rsid w:val="00C776EA"/>
    <w:rsid w:val="00C80FF1"/>
    <w:rsid w:val="00C81A14"/>
    <w:rsid w:val="00C81D17"/>
    <w:rsid w:val="00C82662"/>
    <w:rsid w:val="00C82E49"/>
    <w:rsid w:val="00C83647"/>
    <w:rsid w:val="00C83D0B"/>
    <w:rsid w:val="00C85574"/>
    <w:rsid w:val="00C8629D"/>
    <w:rsid w:val="00C86C56"/>
    <w:rsid w:val="00C91FD7"/>
    <w:rsid w:val="00C93479"/>
    <w:rsid w:val="00CA2353"/>
    <w:rsid w:val="00CA57D6"/>
    <w:rsid w:val="00CA7695"/>
    <w:rsid w:val="00CA7E18"/>
    <w:rsid w:val="00CB0B6A"/>
    <w:rsid w:val="00CB4CE3"/>
    <w:rsid w:val="00CB5DEC"/>
    <w:rsid w:val="00CB670D"/>
    <w:rsid w:val="00CC3017"/>
    <w:rsid w:val="00CC4C45"/>
    <w:rsid w:val="00CC5EA0"/>
    <w:rsid w:val="00CD14E3"/>
    <w:rsid w:val="00CD3CBA"/>
    <w:rsid w:val="00CD3CBE"/>
    <w:rsid w:val="00CD3E8B"/>
    <w:rsid w:val="00CD6264"/>
    <w:rsid w:val="00CD7FA6"/>
    <w:rsid w:val="00CE0B06"/>
    <w:rsid w:val="00CE12BB"/>
    <w:rsid w:val="00CE1531"/>
    <w:rsid w:val="00CE186E"/>
    <w:rsid w:val="00CE3244"/>
    <w:rsid w:val="00CE69B5"/>
    <w:rsid w:val="00CE6BF1"/>
    <w:rsid w:val="00CE7454"/>
    <w:rsid w:val="00CF0E31"/>
    <w:rsid w:val="00CF160B"/>
    <w:rsid w:val="00CF2D94"/>
    <w:rsid w:val="00CF5CAE"/>
    <w:rsid w:val="00D01D98"/>
    <w:rsid w:val="00D02746"/>
    <w:rsid w:val="00D0410B"/>
    <w:rsid w:val="00D05619"/>
    <w:rsid w:val="00D10772"/>
    <w:rsid w:val="00D15E88"/>
    <w:rsid w:val="00D1622C"/>
    <w:rsid w:val="00D17C40"/>
    <w:rsid w:val="00D17CC4"/>
    <w:rsid w:val="00D20C19"/>
    <w:rsid w:val="00D2466A"/>
    <w:rsid w:val="00D24D9D"/>
    <w:rsid w:val="00D25954"/>
    <w:rsid w:val="00D27ABF"/>
    <w:rsid w:val="00D316EA"/>
    <w:rsid w:val="00D31C16"/>
    <w:rsid w:val="00D421F6"/>
    <w:rsid w:val="00D4304B"/>
    <w:rsid w:val="00D44D68"/>
    <w:rsid w:val="00D4559A"/>
    <w:rsid w:val="00D45BA9"/>
    <w:rsid w:val="00D45FF7"/>
    <w:rsid w:val="00D46B57"/>
    <w:rsid w:val="00D474CA"/>
    <w:rsid w:val="00D5099B"/>
    <w:rsid w:val="00D514AA"/>
    <w:rsid w:val="00D51A62"/>
    <w:rsid w:val="00D533E4"/>
    <w:rsid w:val="00D537F8"/>
    <w:rsid w:val="00D54883"/>
    <w:rsid w:val="00D54C3A"/>
    <w:rsid w:val="00D57C74"/>
    <w:rsid w:val="00D60E30"/>
    <w:rsid w:val="00D60FF1"/>
    <w:rsid w:val="00D626A4"/>
    <w:rsid w:val="00D637A6"/>
    <w:rsid w:val="00D64876"/>
    <w:rsid w:val="00D709B4"/>
    <w:rsid w:val="00D71F26"/>
    <w:rsid w:val="00D73B33"/>
    <w:rsid w:val="00D75797"/>
    <w:rsid w:val="00D7674C"/>
    <w:rsid w:val="00D767E9"/>
    <w:rsid w:val="00D76AF3"/>
    <w:rsid w:val="00D848AB"/>
    <w:rsid w:val="00D8636F"/>
    <w:rsid w:val="00D86BA3"/>
    <w:rsid w:val="00D90386"/>
    <w:rsid w:val="00D91A0B"/>
    <w:rsid w:val="00D91FE9"/>
    <w:rsid w:val="00D924B4"/>
    <w:rsid w:val="00D9259E"/>
    <w:rsid w:val="00D9370F"/>
    <w:rsid w:val="00D9449E"/>
    <w:rsid w:val="00DA15E7"/>
    <w:rsid w:val="00DA1D11"/>
    <w:rsid w:val="00DA2CBD"/>
    <w:rsid w:val="00DA40A3"/>
    <w:rsid w:val="00DA437D"/>
    <w:rsid w:val="00DA4AB2"/>
    <w:rsid w:val="00DB171F"/>
    <w:rsid w:val="00DB22E8"/>
    <w:rsid w:val="00DB4E11"/>
    <w:rsid w:val="00DC0007"/>
    <w:rsid w:val="00DC25EF"/>
    <w:rsid w:val="00DC44A8"/>
    <w:rsid w:val="00DC7BBD"/>
    <w:rsid w:val="00DD1B5B"/>
    <w:rsid w:val="00DD2586"/>
    <w:rsid w:val="00DD6578"/>
    <w:rsid w:val="00DD7B96"/>
    <w:rsid w:val="00DE1FA1"/>
    <w:rsid w:val="00DE21E2"/>
    <w:rsid w:val="00DE4518"/>
    <w:rsid w:val="00DE4D72"/>
    <w:rsid w:val="00DE65B6"/>
    <w:rsid w:val="00DE765B"/>
    <w:rsid w:val="00DE7A9D"/>
    <w:rsid w:val="00DF03CE"/>
    <w:rsid w:val="00DF28E4"/>
    <w:rsid w:val="00DF2D57"/>
    <w:rsid w:val="00DF4FD4"/>
    <w:rsid w:val="00DF5427"/>
    <w:rsid w:val="00DF61CB"/>
    <w:rsid w:val="00DF7C9D"/>
    <w:rsid w:val="00DF7E7B"/>
    <w:rsid w:val="00E00AB0"/>
    <w:rsid w:val="00E026E4"/>
    <w:rsid w:val="00E109F8"/>
    <w:rsid w:val="00E10A4D"/>
    <w:rsid w:val="00E1586D"/>
    <w:rsid w:val="00E15D67"/>
    <w:rsid w:val="00E16BA6"/>
    <w:rsid w:val="00E170E6"/>
    <w:rsid w:val="00E17192"/>
    <w:rsid w:val="00E17AB8"/>
    <w:rsid w:val="00E21490"/>
    <w:rsid w:val="00E216A1"/>
    <w:rsid w:val="00E220BE"/>
    <w:rsid w:val="00E22D3D"/>
    <w:rsid w:val="00E2315F"/>
    <w:rsid w:val="00E2341C"/>
    <w:rsid w:val="00E262D9"/>
    <w:rsid w:val="00E30532"/>
    <w:rsid w:val="00E30B1A"/>
    <w:rsid w:val="00E31532"/>
    <w:rsid w:val="00E345B1"/>
    <w:rsid w:val="00E417F2"/>
    <w:rsid w:val="00E4558D"/>
    <w:rsid w:val="00E4662C"/>
    <w:rsid w:val="00E46E75"/>
    <w:rsid w:val="00E50843"/>
    <w:rsid w:val="00E5197B"/>
    <w:rsid w:val="00E52CA3"/>
    <w:rsid w:val="00E53EAE"/>
    <w:rsid w:val="00E53F24"/>
    <w:rsid w:val="00E5416C"/>
    <w:rsid w:val="00E5474A"/>
    <w:rsid w:val="00E55DD1"/>
    <w:rsid w:val="00E56897"/>
    <w:rsid w:val="00E56D62"/>
    <w:rsid w:val="00E63D17"/>
    <w:rsid w:val="00E6400D"/>
    <w:rsid w:val="00E66634"/>
    <w:rsid w:val="00E66931"/>
    <w:rsid w:val="00E6711C"/>
    <w:rsid w:val="00E72451"/>
    <w:rsid w:val="00E735C8"/>
    <w:rsid w:val="00E7425F"/>
    <w:rsid w:val="00E746C3"/>
    <w:rsid w:val="00E74BA6"/>
    <w:rsid w:val="00E76DA2"/>
    <w:rsid w:val="00E770AA"/>
    <w:rsid w:val="00E77872"/>
    <w:rsid w:val="00E82773"/>
    <w:rsid w:val="00E8375F"/>
    <w:rsid w:val="00E83786"/>
    <w:rsid w:val="00E83C43"/>
    <w:rsid w:val="00E8471A"/>
    <w:rsid w:val="00E84722"/>
    <w:rsid w:val="00E8493B"/>
    <w:rsid w:val="00E86D80"/>
    <w:rsid w:val="00E91AF8"/>
    <w:rsid w:val="00E929B8"/>
    <w:rsid w:val="00E939C3"/>
    <w:rsid w:val="00E9445F"/>
    <w:rsid w:val="00E96905"/>
    <w:rsid w:val="00EA11AD"/>
    <w:rsid w:val="00EA3AD4"/>
    <w:rsid w:val="00EB01D4"/>
    <w:rsid w:val="00EB3178"/>
    <w:rsid w:val="00EB3842"/>
    <w:rsid w:val="00EB395F"/>
    <w:rsid w:val="00EB5122"/>
    <w:rsid w:val="00EB6AE3"/>
    <w:rsid w:val="00EC209E"/>
    <w:rsid w:val="00EC35CA"/>
    <w:rsid w:val="00EC460C"/>
    <w:rsid w:val="00EC57AE"/>
    <w:rsid w:val="00EC5AA2"/>
    <w:rsid w:val="00EC5B0E"/>
    <w:rsid w:val="00EC72CF"/>
    <w:rsid w:val="00ED1A1F"/>
    <w:rsid w:val="00ED34B4"/>
    <w:rsid w:val="00ED7001"/>
    <w:rsid w:val="00EE006B"/>
    <w:rsid w:val="00EE0557"/>
    <w:rsid w:val="00EE4949"/>
    <w:rsid w:val="00EE56FB"/>
    <w:rsid w:val="00EF0946"/>
    <w:rsid w:val="00EF1361"/>
    <w:rsid w:val="00EF31F4"/>
    <w:rsid w:val="00EF3853"/>
    <w:rsid w:val="00EF3DEF"/>
    <w:rsid w:val="00EF4066"/>
    <w:rsid w:val="00EF6BDD"/>
    <w:rsid w:val="00EF7FC4"/>
    <w:rsid w:val="00F0304E"/>
    <w:rsid w:val="00F04DAC"/>
    <w:rsid w:val="00F06499"/>
    <w:rsid w:val="00F071AD"/>
    <w:rsid w:val="00F11A39"/>
    <w:rsid w:val="00F11DC3"/>
    <w:rsid w:val="00F14475"/>
    <w:rsid w:val="00F15238"/>
    <w:rsid w:val="00F17617"/>
    <w:rsid w:val="00F218D1"/>
    <w:rsid w:val="00F235EB"/>
    <w:rsid w:val="00F30AA0"/>
    <w:rsid w:val="00F3195E"/>
    <w:rsid w:val="00F320D9"/>
    <w:rsid w:val="00F33017"/>
    <w:rsid w:val="00F33BBB"/>
    <w:rsid w:val="00F431CF"/>
    <w:rsid w:val="00F44A5C"/>
    <w:rsid w:val="00F46A83"/>
    <w:rsid w:val="00F46AC7"/>
    <w:rsid w:val="00F46D47"/>
    <w:rsid w:val="00F474C9"/>
    <w:rsid w:val="00F47CE9"/>
    <w:rsid w:val="00F5193A"/>
    <w:rsid w:val="00F5252B"/>
    <w:rsid w:val="00F53C3C"/>
    <w:rsid w:val="00F54585"/>
    <w:rsid w:val="00F54F08"/>
    <w:rsid w:val="00F5605E"/>
    <w:rsid w:val="00F56652"/>
    <w:rsid w:val="00F60ED5"/>
    <w:rsid w:val="00F6107F"/>
    <w:rsid w:val="00F6488B"/>
    <w:rsid w:val="00F653C0"/>
    <w:rsid w:val="00F657C2"/>
    <w:rsid w:val="00F6672B"/>
    <w:rsid w:val="00F66944"/>
    <w:rsid w:val="00F7002D"/>
    <w:rsid w:val="00F700DF"/>
    <w:rsid w:val="00F7191B"/>
    <w:rsid w:val="00F72DC8"/>
    <w:rsid w:val="00F801DE"/>
    <w:rsid w:val="00F8237F"/>
    <w:rsid w:val="00F85146"/>
    <w:rsid w:val="00F87C7F"/>
    <w:rsid w:val="00F87CFE"/>
    <w:rsid w:val="00F905D6"/>
    <w:rsid w:val="00F918B4"/>
    <w:rsid w:val="00F92236"/>
    <w:rsid w:val="00F9255F"/>
    <w:rsid w:val="00F94C96"/>
    <w:rsid w:val="00F96DAC"/>
    <w:rsid w:val="00F97132"/>
    <w:rsid w:val="00FA1723"/>
    <w:rsid w:val="00FA2A33"/>
    <w:rsid w:val="00FA6338"/>
    <w:rsid w:val="00FA7C7A"/>
    <w:rsid w:val="00FB1775"/>
    <w:rsid w:val="00FB2242"/>
    <w:rsid w:val="00FB264A"/>
    <w:rsid w:val="00FB334A"/>
    <w:rsid w:val="00FB33D9"/>
    <w:rsid w:val="00FB484F"/>
    <w:rsid w:val="00FB51D4"/>
    <w:rsid w:val="00FB5DBC"/>
    <w:rsid w:val="00FB5FB5"/>
    <w:rsid w:val="00FB7892"/>
    <w:rsid w:val="00FC0A83"/>
    <w:rsid w:val="00FC0B36"/>
    <w:rsid w:val="00FC4AD1"/>
    <w:rsid w:val="00FC64D8"/>
    <w:rsid w:val="00FC7A22"/>
    <w:rsid w:val="00FC7D59"/>
    <w:rsid w:val="00FD36C3"/>
    <w:rsid w:val="00FD399A"/>
    <w:rsid w:val="00FD4BE5"/>
    <w:rsid w:val="00FD4F02"/>
    <w:rsid w:val="00FD6886"/>
    <w:rsid w:val="00FD7199"/>
    <w:rsid w:val="00FE0210"/>
    <w:rsid w:val="00FE08F0"/>
    <w:rsid w:val="00FE1E1A"/>
    <w:rsid w:val="00FE320A"/>
    <w:rsid w:val="00FE33AF"/>
    <w:rsid w:val="00FE60FB"/>
    <w:rsid w:val="00FE7925"/>
    <w:rsid w:val="00FF0461"/>
    <w:rsid w:val="00FF056C"/>
    <w:rsid w:val="00FF10EE"/>
    <w:rsid w:val="00FF4636"/>
    <w:rsid w:val="00FF4D96"/>
    <w:rsid w:val="00FF5696"/>
    <w:rsid w:val="026C24CA"/>
    <w:rsid w:val="13344F95"/>
    <w:rsid w:val="190006E4"/>
    <w:rsid w:val="1C0D5169"/>
    <w:rsid w:val="20A8486E"/>
    <w:rsid w:val="2A3B5B9F"/>
    <w:rsid w:val="2DF41A0B"/>
    <w:rsid w:val="2E0E56EF"/>
    <w:rsid w:val="2FFC11D7"/>
    <w:rsid w:val="32875382"/>
    <w:rsid w:val="38664DBA"/>
    <w:rsid w:val="3A894194"/>
    <w:rsid w:val="3B357D19"/>
    <w:rsid w:val="3DE020B6"/>
    <w:rsid w:val="40AE547B"/>
    <w:rsid w:val="4B0E39B8"/>
    <w:rsid w:val="4CCB6AFA"/>
    <w:rsid w:val="4CDA444D"/>
    <w:rsid w:val="4F6B1112"/>
    <w:rsid w:val="5258145E"/>
    <w:rsid w:val="59036421"/>
    <w:rsid w:val="5AA93B03"/>
    <w:rsid w:val="635E419A"/>
    <w:rsid w:val="64033E73"/>
    <w:rsid w:val="67C75E23"/>
    <w:rsid w:val="69437A18"/>
    <w:rsid w:val="6AC1338B"/>
    <w:rsid w:val="6B0E5269"/>
    <w:rsid w:val="6C453EF3"/>
    <w:rsid w:val="6F074B2B"/>
    <w:rsid w:val="74066702"/>
    <w:rsid w:val="75F25CF1"/>
    <w:rsid w:val="77E33AF6"/>
    <w:rsid w:val="77F40E17"/>
    <w:rsid w:val="7A0041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qFormat/>
    <w:uiPriority w:val="0"/>
    <w:rPr>
      <w:b/>
      <w:bCs/>
    </w:rPr>
  </w:style>
  <w:style w:type="paragraph" w:styleId="3">
    <w:name w:val="annotation text"/>
    <w:basedOn w:val="1"/>
    <w:link w:val="16"/>
    <w:semiHidden/>
    <w:qFormat/>
    <w:uiPriority w:val="0"/>
    <w:pPr>
      <w:jc w:val="left"/>
    </w:pPr>
  </w:style>
  <w:style w:type="paragraph" w:styleId="4">
    <w:name w:val="Balloon Text"/>
    <w:basedOn w:val="1"/>
    <w:link w:val="17"/>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semiHidden/>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Times New Roman"/>
      <w:kern w:val="0"/>
      <w:sz w:val="18"/>
      <w:szCs w:val="18"/>
    </w:r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character" w:styleId="12">
    <w:name w:val="annotation reference"/>
    <w:basedOn w:val="9"/>
    <w:semiHidden/>
    <w:qFormat/>
    <w:uiPriority w:val="0"/>
    <w:rPr>
      <w:rFonts w:cs="Times New Roman"/>
      <w:sz w:val="21"/>
      <w:szCs w:val="21"/>
    </w:rPr>
  </w:style>
  <w:style w:type="character" w:styleId="13">
    <w:name w:val="footnote reference"/>
    <w:basedOn w:val="9"/>
    <w:semiHidden/>
    <w:qFormat/>
    <w:uiPriority w:val="0"/>
    <w:rPr>
      <w:rFonts w:cs="Times New Roman"/>
      <w:vertAlign w:val="superscript"/>
    </w:rPr>
  </w:style>
  <w:style w:type="table" w:styleId="15">
    <w:name w:val="Table Grid"/>
    <w:basedOn w:val="1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文字 Char"/>
    <w:basedOn w:val="9"/>
    <w:link w:val="3"/>
    <w:qFormat/>
    <w:locked/>
    <w:uiPriority w:val="0"/>
    <w:rPr>
      <w:rFonts w:cs="Times New Roman"/>
    </w:rPr>
  </w:style>
  <w:style w:type="character" w:customStyle="1" w:styleId="17">
    <w:name w:val="批注框文本 Char"/>
    <w:basedOn w:val="9"/>
    <w:link w:val="4"/>
    <w:semiHidden/>
    <w:qFormat/>
    <w:locked/>
    <w:uiPriority w:val="0"/>
    <w:rPr>
      <w:rFonts w:cs="Times New Roman"/>
      <w:sz w:val="18"/>
      <w:szCs w:val="18"/>
    </w:rPr>
  </w:style>
  <w:style w:type="character" w:customStyle="1" w:styleId="18">
    <w:name w:val="脚注文本 Char"/>
    <w:basedOn w:val="9"/>
    <w:link w:val="7"/>
    <w:semiHidden/>
    <w:qFormat/>
    <w:locked/>
    <w:uiPriority w:val="0"/>
    <w:rPr>
      <w:rFonts w:cs="Times New Roman"/>
      <w:sz w:val="18"/>
      <w:szCs w:val="18"/>
    </w:rPr>
  </w:style>
  <w:style w:type="character" w:customStyle="1" w:styleId="19">
    <w:name w:val="页脚 Char"/>
    <w:basedOn w:val="9"/>
    <w:link w:val="5"/>
    <w:qFormat/>
    <w:locked/>
    <w:uiPriority w:val="99"/>
    <w:rPr>
      <w:rFonts w:cs="Times New Roman"/>
      <w:sz w:val="18"/>
      <w:szCs w:val="18"/>
    </w:rPr>
  </w:style>
  <w:style w:type="character" w:customStyle="1" w:styleId="20">
    <w:name w:val="页眉 Char"/>
    <w:basedOn w:val="9"/>
    <w:link w:val="6"/>
    <w:semiHidden/>
    <w:qFormat/>
    <w:locked/>
    <w:uiPriority w:val="0"/>
    <w:rPr>
      <w:rFonts w:cs="Times New Roman"/>
      <w:kern w:val="2"/>
      <w:sz w:val="18"/>
      <w:szCs w:val="18"/>
    </w:rPr>
  </w:style>
  <w:style w:type="character" w:customStyle="1" w:styleId="21">
    <w:name w:val="批注主题 Char"/>
    <w:basedOn w:val="16"/>
    <w:link w:val="2"/>
    <w:semiHidden/>
    <w:qFormat/>
    <w:locked/>
    <w:uiPriority w:val="0"/>
    <w:rPr>
      <w:rFonts w:cs="Times New Roman"/>
      <w:b/>
      <w:bCs/>
      <w:kern w:val="2"/>
      <w:sz w:val="21"/>
      <w:szCs w:val="21"/>
    </w:rPr>
  </w:style>
  <w:style w:type="paragraph" w:customStyle="1" w:styleId="22">
    <w:name w:val="列出段落1"/>
    <w:basedOn w:val="1"/>
    <w:unhideWhenUsed/>
    <w:qFormat/>
    <w:uiPriority w:val="99"/>
    <w:pPr>
      <w:ind w:firstLine="420" w:firstLineChars="200"/>
    </w:pPr>
  </w:style>
  <w:style w:type="paragraph" w:customStyle="1" w:styleId="23">
    <w:name w:val="Revision"/>
    <w:hidden/>
    <w:unhideWhenUsed/>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292DAB-6D49-4DA5-BD1D-DAD30DEDDC4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2388</Words>
  <Characters>13616</Characters>
  <Lines>113</Lines>
  <Paragraphs>31</Paragraphs>
  <TotalTime>1</TotalTime>
  <ScaleCrop>false</ScaleCrop>
  <LinksUpToDate>false</LinksUpToDate>
  <CharactersWithSpaces>15973</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2018-07-03T09:38:00Z</dcterms:created>
  <dc:creator>彦</dc:creator>
  <cp:lastModifiedBy>pc</cp:lastModifiedBy>
  <dcterms:modified xsi:type="dcterms:W3CDTF">2018-12-09T08:20:14Z</dcterms:modified>
  <dc:title>《政府会计制度》与《事业单位会计制度》有关衔接问题的处理规定（模拟测试稿）</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