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6"/>
          <w:szCs w:val="36"/>
        </w:rPr>
      </w:pPr>
    </w:p>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关于高等学校执行《政府会计制度——行政事业单位会计科目和报表》的衔接规定</w:t>
      </w:r>
      <w:bookmarkStart w:id="0" w:name="_GoBack"/>
      <w:bookmarkEnd w:id="0"/>
    </w:p>
    <w:p>
      <w:pPr>
        <w:ind w:firstLine="704" w:firstLineChars="220"/>
        <w:rPr>
          <w:rFonts w:ascii="仿宋" w:hAnsi="仿宋" w:eastAsia="仿宋" w:cs="Times New Roman"/>
          <w:sz w:val="32"/>
          <w:szCs w:val="32"/>
        </w:rPr>
      </w:pPr>
    </w:p>
    <w:p>
      <w:pPr>
        <w:ind w:firstLine="704" w:firstLineChars="220"/>
        <w:rPr>
          <w:rFonts w:ascii="仿宋" w:hAnsi="仿宋" w:eastAsia="仿宋" w:cs="Times New Roman"/>
          <w:sz w:val="32"/>
          <w:szCs w:val="32"/>
        </w:rPr>
      </w:pPr>
      <w:r>
        <w:rPr>
          <w:rFonts w:ascii="Times New Roman" w:hAnsi="Times New Roman" w:eastAsia="仿宋_GB2312" w:cs="Times New Roman"/>
          <w:sz w:val="32"/>
          <w:szCs w:val="32"/>
        </w:rPr>
        <w:t>我部于2017年10月24日印发了《政府会计制度——行政事业单位会计科目和报表》（财会〔2017〕25号，以下简称新制度）。原执行《高等学校会计制度》（财会〔2013〕30号，以下简称原制度）的高等学校</w:t>
      </w:r>
      <w:r>
        <w:rPr>
          <w:rStyle w:val="12"/>
          <w:rFonts w:ascii="Times New Roman" w:hAnsi="Times New Roman" w:eastAsia="仿宋_GB2312"/>
          <w:sz w:val="32"/>
          <w:szCs w:val="32"/>
        </w:rPr>
        <w:footnoteReference w:id="0"/>
      </w:r>
      <w:r>
        <w:rPr>
          <w:rFonts w:ascii="Times New Roman" w:hAnsi="Times New Roman" w:eastAsia="仿宋_GB2312" w:cs="Times New Roman"/>
          <w:sz w:val="32"/>
          <w:szCs w:val="32"/>
        </w:rPr>
        <w:t>，自2019年1月1日起执行新制度，不再执行原制度。为了确保新旧会计制度顺利过渡，现对高等学校执行新制度</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关于高等学校执行&lt;政府会计制度——行政事业单位会计科目和报表&gt;的补充规定</w:t>
      </w:r>
      <w:r>
        <w:rPr>
          <w:rFonts w:hint="eastAsia" w:ascii="Times New Roman" w:hAnsi="Times New Roman" w:eastAsia="仿宋_GB2312" w:cs="Times New Roman"/>
          <w:sz w:val="32"/>
          <w:szCs w:val="32"/>
        </w:rPr>
        <w:t>》（以下简称补充规定）</w:t>
      </w:r>
      <w:r>
        <w:rPr>
          <w:rFonts w:ascii="Times New Roman" w:hAnsi="Times New Roman" w:eastAsia="仿宋_GB2312" w:cs="Times New Roman"/>
          <w:sz w:val="32"/>
          <w:szCs w:val="32"/>
        </w:rPr>
        <w:t>有关衔接问题规定如下：</w:t>
      </w:r>
    </w:p>
    <w:p>
      <w:pPr>
        <w:ind w:firstLine="640" w:firstLineChars="200"/>
        <w:rPr>
          <w:rFonts w:ascii="黑体" w:hAnsi="黑体" w:eastAsia="黑体" w:cs="Times New Roman"/>
          <w:bCs/>
          <w:sz w:val="32"/>
          <w:szCs w:val="32"/>
        </w:rPr>
      </w:pPr>
      <w:r>
        <w:rPr>
          <w:rFonts w:ascii="黑体" w:hAnsi="黑体" w:eastAsia="黑体" w:cs="Times New Roman"/>
          <w:bCs/>
          <w:sz w:val="32"/>
          <w:szCs w:val="32"/>
        </w:rPr>
        <w:t>一、新旧制度衔接总要求</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（一）自2019年１月１日起，高等学校应当严格按照新制度</w:t>
      </w:r>
      <w:r>
        <w:rPr>
          <w:rFonts w:hint="eastAsia" w:ascii="Times New Roman" w:hAnsi="Times New Roman" w:eastAsia="仿宋_GB2312" w:cs="Times New Roman"/>
          <w:sz w:val="32"/>
          <w:szCs w:val="32"/>
        </w:rPr>
        <w:t>及补充</w:t>
      </w:r>
      <w:r>
        <w:rPr>
          <w:rFonts w:ascii="Times New Roman" w:hAnsi="Times New Roman" w:eastAsia="仿宋_GB2312" w:cs="Times New Roman"/>
          <w:sz w:val="32"/>
          <w:szCs w:val="32"/>
        </w:rPr>
        <w:t>规定进行会计核算、编制财务报表和预算会计报表。</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（二）高等学校应当按照本规定做好新旧制度衔接的相关工作，主要包括以下几个方面：</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1.根据原账编制2018年12月31日的科目余额表，并按照本规定要求，编制原账的部分科目余额明细表（参见附表1、附表2）。</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2.按照新制度</w:t>
      </w:r>
      <w:r>
        <w:rPr>
          <w:rFonts w:hint="eastAsia" w:ascii="Times New Roman" w:hAnsi="Times New Roman" w:eastAsia="仿宋_GB2312" w:cs="Times New Roman"/>
          <w:sz w:val="32"/>
          <w:szCs w:val="32"/>
        </w:rPr>
        <w:t>及补充规定</w:t>
      </w:r>
      <w:r>
        <w:rPr>
          <w:rFonts w:ascii="Times New Roman" w:hAnsi="Times New Roman" w:eastAsia="仿宋_GB2312" w:cs="Times New Roman"/>
          <w:sz w:val="32"/>
          <w:szCs w:val="32"/>
        </w:rPr>
        <w:t>设立2019年1月1日的新账。</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按照本规定要求，登记新账的财务会计科目余额和预算结余科目余额，包括将原账科目余额转入新账财务会计科目、按照原账科目余额登记新账预算结余科目（高等学校新旧会计制度转账、登记新账科目对照表见附表3），将未入账事项登记新账科目，并对相关新账科目余额进行调整。原账科目是指按照原制度规定设置的会计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4.按照登记及调整后新账的各会计科目余额，编制2019年1月1日的科目余额表，作为新账各会计科目的期初余额。</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5.根据新账各会计科目期初余额，按照新制度编制2019年1月1日资产负债表。</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（三）及时调整会计信息系统。高等学校应当按照新制度</w:t>
      </w:r>
      <w:r>
        <w:rPr>
          <w:rFonts w:hint="eastAsia" w:ascii="Times New Roman" w:hAnsi="Times New Roman" w:eastAsia="仿宋_GB2312" w:cs="Times New Roman"/>
          <w:sz w:val="32"/>
          <w:szCs w:val="32"/>
        </w:rPr>
        <w:t>及补充规定</w:t>
      </w:r>
      <w:r>
        <w:rPr>
          <w:rFonts w:ascii="Times New Roman" w:hAnsi="Times New Roman" w:eastAsia="仿宋_GB2312" w:cs="Times New Roman"/>
          <w:sz w:val="32"/>
          <w:szCs w:val="32"/>
        </w:rPr>
        <w:t>要求对原有会计信息系统进行及时更新和调试，实现数据正确转换，确保新旧账套的有序衔接。</w:t>
      </w:r>
    </w:p>
    <w:p>
      <w:pPr>
        <w:ind w:firstLine="704" w:firstLineChars="220"/>
        <w:rPr>
          <w:rFonts w:ascii="黑体" w:hAnsi="黑体" w:eastAsia="黑体" w:cs="Times New Roman"/>
          <w:bCs/>
          <w:sz w:val="32"/>
          <w:szCs w:val="32"/>
        </w:rPr>
      </w:pPr>
      <w:r>
        <w:rPr>
          <w:rFonts w:ascii="黑体" w:hAnsi="黑体" w:eastAsia="黑体" w:cs="Times New Roman"/>
          <w:bCs/>
          <w:sz w:val="32"/>
          <w:szCs w:val="32"/>
        </w:rPr>
        <w:t>二、财务会计</w:t>
      </w:r>
      <w:r>
        <w:rPr>
          <w:rFonts w:hint="eastAsia" w:ascii="黑体" w:hAnsi="黑体" w:eastAsia="黑体" w:cs="Times New Roman"/>
          <w:bCs/>
          <w:sz w:val="32"/>
          <w:szCs w:val="32"/>
        </w:rPr>
        <w:t>科目</w:t>
      </w:r>
      <w:r>
        <w:rPr>
          <w:rFonts w:ascii="黑体" w:hAnsi="黑体" w:eastAsia="黑体" w:cs="Times New Roman"/>
          <w:bCs/>
          <w:sz w:val="32"/>
          <w:szCs w:val="32"/>
        </w:rPr>
        <w:t>的新旧衔接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（一）将2018年12月31日原账会计科目余额转入新账财务会计科目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1.资产类</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（1）“库存现金”、“财政应返还额度”、“</w:t>
      </w:r>
      <w:r>
        <w:rPr>
          <w:rFonts w:ascii="Times New Roman" w:hAnsi="Times New Roman" w:eastAsia="仿宋_GB2312" w:cs="Times New Roman"/>
          <w:kern w:val="0"/>
          <w:sz w:val="32"/>
          <w:szCs w:val="32"/>
        </w:rPr>
        <w:t>短期投资</w:t>
      </w:r>
      <w:r>
        <w:rPr>
          <w:rFonts w:ascii="Times New Roman" w:hAnsi="Times New Roman" w:eastAsia="仿宋_GB2312" w:cs="Times New Roman"/>
          <w:sz w:val="32"/>
          <w:szCs w:val="32"/>
        </w:rPr>
        <w:t>”、“应收票据”、“应收账款”、“无形资产”科目</w:t>
      </w:r>
    </w:p>
    <w:p>
      <w:pPr>
        <w:autoSpaceDE w:val="0"/>
        <w:autoSpaceDN w:val="0"/>
        <w:adjustRightInd w:val="0"/>
        <w:ind w:firstLine="704" w:firstLineChars="220"/>
        <w:jc w:val="left"/>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新制度设置了“库存现金”、“财政应返还额度”、“</w:t>
      </w:r>
      <w:r>
        <w:rPr>
          <w:rFonts w:ascii="Times New Roman" w:hAnsi="Times New Roman" w:eastAsia="仿宋_GB2312" w:cs="Times New Roman"/>
          <w:kern w:val="0"/>
          <w:sz w:val="32"/>
          <w:szCs w:val="32"/>
        </w:rPr>
        <w:t>短期投资</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“应收票据”、“应收账款”、“无形资产”</w:t>
      </w:r>
      <w:r>
        <w:rPr>
          <w:rFonts w:ascii="Times New Roman" w:hAnsi="Times New Roman" w:eastAsia="仿宋_GB2312" w:cs="Times New Roman"/>
          <w:kern w:val="0"/>
          <w:sz w:val="32"/>
          <w:szCs w:val="32"/>
        </w:rPr>
        <w:t>科目，其核算内容与原账的上述相应科目的核算内容基本相同。转账时，应当将原账的上述科目余额直接转入新账的相应科目。其中，还应当将原账的“库存现金”科目余额中属于新制度规定受托代理资产的金额转入新账的“库存现金”科目下“受托代理资产”明细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sz w:val="32"/>
          <w:szCs w:val="32"/>
        </w:rPr>
        <w:t>“银行存款”科目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新制度设置了“银行存款”和“其他货币资金”科目，原制度设置了“银行存款”科目。转账时，高等学校应当将原账“银行存款”科目中核算的属于新制度规定的其他货币资金的金额，转入新账</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其他货币资金”科目；将原账“银行存款”科目余额减去其中属于其他货币资金余额后的差额，转入新账的“银行存款”科目。其中，还应当将原账的“银行存款”科目余额中属于新制度规定受托代理资产的金额，转入新账“银行存款”科目下的“受托代理资产”明细科目。</w:t>
      </w:r>
    </w:p>
    <w:p>
      <w:pPr>
        <w:numPr>
          <w:ilvl w:val="0"/>
          <w:numId w:val="1"/>
        </w:num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“预付账款”科目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新制度设置了“预付账款”科目，该科目的核算内容与原账“预付账款”科目的核算内容基本相同。转账时，高等学校应当将原账的“预付账款”科目余额转入新账的“预付账款”科目。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新制度设置了“受托代理资产”科目，高等学校在原账的“预付账款”科目中核算</w:t>
      </w:r>
      <w:r>
        <w:rPr>
          <w:rFonts w:hint="eastAsia" w:ascii="Times New Roman" w:hAnsi="Times New Roman" w:eastAsia="仿宋_GB2312" w:cs="Times New Roman"/>
          <w:kern w:val="0"/>
          <w:sz w:val="32"/>
          <w:szCs w:val="32"/>
        </w:rPr>
        <w:t>了</w:t>
      </w:r>
      <w:r>
        <w:rPr>
          <w:rFonts w:ascii="Times New Roman" w:hAnsi="Times New Roman" w:eastAsia="仿宋_GB2312" w:cs="Times New Roman"/>
          <w:kern w:val="0"/>
          <w:sz w:val="32"/>
          <w:szCs w:val="32"/>
        </w:rPr>
        <w:t>使用受托代理资金的预付账款</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，应当将原账的“预付账款”科目余额中使用受托代理资金的金额转入新账的“受托代理资产</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应收及暂付款”科目。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（4）</w:t>
      </w:r>
      <w:r>
        <w:rPr>
          <w:rFonts w:ascii="Times New Roman" w:hAnsi="Times New Roman" w:eastAsia="仿宋_GB2312" w:cs="Times New Roman"/>
          <w:sz w:val="32"/>
          <w:szCs w:val="32"/>
        </w:rPr>
        <w:t>“其他应收款”科目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新制度设置了“其他应收款”科目，该科目的核算内容与原账的“其他应收款”科目的核算内容基本相同。转账时，高等学校应当将原账的“其他应收款”科目余额转入新账的“其他应收款”科目。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在途物品”科目，高等学校如果有在原账“其他应收款”科目中核算已经付款或开出商业汇票、尚未收到物资的款项，应当将原账的“其他应收款”科目余额中已经付款或开出商业汇票、尚未收到物资的款项金额转入新账的“在途物品”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新制度设置了“受托代理资产”科目，高等学校如果有使用受托代理资金支付其他应收款的，应当将原账的“其他应收款”科目余额中使用受托代理资金的金额转入新账的“受托代理资产</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应收及暂付款”科目。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（5）</w:t>
      </w:r>
      <w:r>
        <w:rPr>
          <w:rFonts w:ascii="Times New Roman" w:hAnsi="Times New Roman" w:eastAsia="仿宋_GB2312" w:cs="Times New Roman"/>
          <w:sz w:val="32"/>
          <w:szCs w:val="32"/>
        </w:rPr>
        <w:t>“存货”科目</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新制度设置了“库存物品”</w:t>
      </w:r>
      <w:r>
        <w:rPr>
          <w:rFonts w:hint="eastAsia" w:ascii="Times New Roman" w:hAnsi="Times New Roman" w:eastAsia="仿宋_GB2312" w:cs="Times New Roman"/>
          <w:kern w:val="0"/>
          <w:sz w:val="32"/>
          <w:szCs w:val="32"/>
        </w:rPr>
        <w:t>和</w:t>
      </w:r>
      <w:r>
        <w:rPr>
          <w:rFonts w:ascii="Times New Roman" w:hAnsi="Times New Roman" w:eastAsia="仿宋_GB2312" w:cs="Times New Roman"/>
          <w:kern w:val="0"/>
          <w:sz w:val="32"/>
          <w:szCs w:val="32"/>
        </w:rPr>
        <w:t>“加工物品”科目，原制度设置了“存货”科目。转账时，高等学校应当将原账的“存货”科目余额中属于在加工存货的金额，转入新账的“加工物品”科目；将原账的“存货”科目余额减去属于在加工存货的金额后的差额，转入新账的“库存物品”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高等学校在原账的“存货”科目中核算了属于新制度规定的受托代理物资的，应当将原账的“存货”科目余额中属于受托代理物资的金额，转入新账的“受托代理资产”科目。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（6）“长期投资”科目</w:t>
      </w:r>
    </w:p>
    <w:p>
      <w:pPr>
        <w:autoSpaceDE w:val="0"/>
        <w:autoSpaceDN w:val="0"/>
        <w:adjustRightInd w:val="0"/>
        <w:ind w:firstLine="704" w:firstLineChars="22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新制度设置了“长期股权投资”和“长期债券投资”科目，</w:t>
      </w:r>
      <w:r>
        <w:rPr>
          <w:rFonts w:hint="eastAsia" w:ascii="Times New Roman" w:hAnsi="Times New Roman" w:eastAsia="仿宋_GB2312" w:cs="Times New Roman"/>
          <w:kern w:val="0"/>
          <w:sz w:val="32"/>
          <w:szCs w:val="32"/>
        </w:rPr>
        <w:t>原制度设置了</w:t>
      </w:r>
      <w:r>
        <w:rPr>
          <w:rFonts w:ascii="Times New Roman" w:hAnsi="Times New Roman" w:eastAsia="仿宋_GB2312" w:cs="Times New Roman"/>
          <w:kern w:val="0"/>
          <w:sz w:val="32"/>
          <w:szCs w:val="32"/>
        </w:rPr>
        <w:t>“长期投资”科目。转账时，高等学校应当将原账的“长期投资”科目余额中属于股权投资的金额转入新账的“长期股权投资”科目及其明细科目；将原账的“长期投资”科目余额中属于债券投资的金额</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转入新账的“长期债券投资”科目及其明细科目。</w:t>
      </w:r>
    </w:p>
    <w:p>
      <w:pPr>
        <w:autoSpaceDE w:val="0"/>
        <w:autoSpaceDN w:val="0"/>
        <w:adjustRightInd w:val="0"/>
        <w:ind w:firstLine="704" w:firstLineChars="22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高等学校原账的“长期投资”科目核算的内容中，如果有被投资单位属于非企业法人单位的，应当在转账时先将对非企业法人单位出资的金额从原账的“长期投资”科目余额转出，借记原账的“非流动资产基金</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长期投资”科目，贷记原账的“长期投资”科目。</w:t>
      </w:r>
    </w:p>
    <w:p>
      <w:pPr>
        <w:autoSpaceDE w:val="0"/>
        <w:autoSpaceDN w:val="0"/>
        <w:adjustRightInd w:val="0"/>
        <w:ind w:firstLine="704" w:firstLineChars="22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（7）“固定资产”科目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新制度设置了“固定资产”科目，该科目的核算内容与原账“固定资产”科目的核算内容基本相同。转账时，高等学校应当将原账的“固定资产”科目余额转入新账的“固定资产”科目。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高等学校有使用受托代理资金购买的固定资产</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，当将原账的“固定资产”科目余额中使用受托代理资金购买固定资产的金额转入新账的“受托代理资产</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固定资产”科目借方。</w:t>
      </w:r>
    </w:p>
    <w:p>
      <w:pPr>
        <w:autoSpaceDE w:val="0"/>
        <w:autoSpaceDN w:val="0"/>
        <w:adjustRightInd w:val="0"/>
        <w:ind w:firstLine="704" w:firstLineChars="22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（8）“累计折旧”科目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新制度设置了“固定资产累计折旧”科目，该科目的核算内容与原账“累计折旧”科目的核算内容基本相同。转账时，高等学校已经计提了固定资产折旧的</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应当将原账的“累计折旧”科目余额</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转入新账的“固定资产累计折旧”科目。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高等学校有使用受托代理资金购买的固定资产并计提了折旧</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应</w:t>
      </w:r>
      <w:r>
        <w:rPr>
          <w:rFonts w:ascii="Times New Roman" w:hAnsi="Times New Roman" w:eastAsia="仿宋_GB2312" w:cs="Times New Roman"/>
          <w:kern w:val="0"/>
          <w:sz w:val="32"/>
          <w:szCs w:val="32"/>
        </w:rPr>
        <w:t>当将原账的“累计折旧”科目余额中对使用受托代理资金购买固定资产计提折旧的金额转入新账的“</w:t>
      </w:r>
      <w:r>
        <w:rPr>
          <w:rFonts w:hint="eastAsia" w:ascii="Times New Roman" w:hAnsi="Times New Roman" w:eastAsia="仿宋_GB2312" w:cs="Times New Roman"/>
          <w:kern w:val="0"/>
          <w:sz w:val="32"/>
          <w:szCs w:val="32"/>
        </w:rPr>
        <w:t>累计盈余</w:t>
      </w:r>
      <w:r>
        <w:rPr>
          <w:rFonts w:ascii="Times New Roman" w:hAnsi="Times New Roman" w:eastAsia="仿宋_GB2312" w:cs="Times New Roman"/>
          <w:kern w:val="0"/>
          <w:sz w:val="32"/>
          <w:szCs w:val="32"/>
        </w:rPr>
        <w:t>”科目。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（9）</w:t>
      </w:r>
      <w:r>
        <w:rPr>
          <w:rFonts w:ascii="Times New Roman" w:hAnsi="Times New Roman" w:eastAsia="仿宋_GB2312" w:cs="Times New Roman"/>
          <w:sz w:val="32"/>
          <w:szCs w:val="32"/>
        </w:rPr>
        <w:t>“在建工程”科目</w:t>
      </w:r>
    </w:p>
    <w:p>
      <w:pPr>
        <w:ind w:firstLine="707" w:firstLineChars="22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在建工程”和“预付账款——预付备料款、预付工程款”科目，原制度设置了“在建工程”科目。转账时，高等学校应当将原账的“在建工程”科目余额（基建“并账”后的金额，下同）中属于预付备料款、预付工程款的金额，转入新账</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“预付账款”</w:t>
      </w:r>
      <w:r>
        <w:rPr>
          <w:rFonts w:hint="eastAsia" w:ascii="Times New Roman" w:hAnsi="Times New Roman" w:eastAsia="仿宋_GB2312" w:cs="Times New Roman"/>
          <w:kern w:val="0"/>
          <w:sz w:val="32"/>
          <w:szCs w:val="32"/>
        </w:rPr>
        <w:t>科目</w:t>
      </w:r>
      <w:r>
        <w:rPr>
          <w:rFonts w:ascii="Times New Roman" w:hAnsi="Times New Roman" w:eastAsia="仿宋_GB2312" w:cs="Times New Roman"/>
          <w:kern w:val="0"/>
          <w:sz w:val="32"/>
          <w:szCs w:val="32"/>
        </w:rPr>
        <w:t>相关明细科目；将原账的“在建工程”科目余额减去预付备料款、预付工程款金额后的差额，转入新账的“在建工程”科目。</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高等学校在原账“在建工程”科目中核算了按照新制度规定应当记入“工程物资”科目内容的，应当将原账 “在建工程”科目余额中属于工程物资的金额，转入新账的“工程物资”科目。</w:t>
      </w:r>
    </w:p>
    <w:p>
      <w:pPr>
        <w:autoSpaceDE w:val="0"/>
        <w:autoSpaceDN w:val="0"/>
        <w:adjustRightInd w:val="0"/>
        <w:ind w:firstLine="704" w:firstLineChars="22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（10）“累计摊销”科目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新制度设置了“无形资产累计摊销”科目，该科目的核算内容与原账“累计摊销”科目的核算内容基本相同。转账时，高等学校已经计提了无形资产摊销的</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应当将原账的“累计摊销”科目余额</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转入新账的“无形资产累计摊销”科目。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）“待处置资产损溢”科目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新制度设置了“待处理财产损溢”科目，该科目的核算内容与原账的</w:t>
      </w:r>
      <w:r>
        <w:rPr>
          <w:rFonts w:ascii="Times New Roman" w:hAnsi="Times New Roman" w:eastAsia="仿宋_GB2312" w:cs="Times New Roman"/>
          <w:sz w:val="32"/>
          <w:szCs w:val="32"/>
        </w:rPr>
        <w:t>“待处置资产损溢”</w:t>
      </w:r>
      <w:r>
        <w:rPr>
          <w:rFonts w:ascii="Times New Roman" w:hAnsi="Times New Roman" w:eastAsia="仿宋_GB2312" w:cs="Times New Roman"/>
          <w:kern w:val="0"/>
          <w:sz w:val="32"/>
          <w:szCs w:val="32"/>
        </w:rPr>
        <w:t>科目的核算内容基本相同。转账时，高等学校应当将原账的</w:t>
      </w:r>
      <w:r>
        <w:rPr>
          <w:rFonts w:ascii="Times New Roman" w:hAnsi="Times New Roman" w:eastAsia="仿宋_GB2312" w:cs="Times New Roman"/>
          <w:sz w:val="32"/>
          <w:szCs w:val="32"/>
        </w:rPr>
        <w:t>“待处置资产损溢”</w:t>
      </w:r>
      <w:r>
        <w:rPr>
          <w:rFonts w:ascii="Times New Roman" w:hAnsi="Times New Roman" w:eastAsia="仿宋_GB2312" w:cs="Times New Roman"/>
          <w:kern w:val="0"/>
          <w:sz w:val="32"/>
          <w:szCs w:val="32"/>
        </w:rPr>
        <w:t>科目余额，转入新账的“待处理财产损溢”科目。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）“零余额账户用款额度”科目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由于原账的“零余额账户用款额度”科目年末无余额，</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需进行转账处理。</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2.负债类</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Times New Roman" w:eastAsia="仿宋_GB2312" w:cs="Times New Roman"/>
          <w:kern w:val="0"/>
          <w:sz w:val="32"/>
          <w:szCs w:val="32"/>
        </w:rPr>
        <w:t>“短期借款”</w:t>
      </w:r>
      <w:r>
        <w:rPr>
          <w:rFonts w:ascii="Times New Roman" w:hAnsi="Times New Roman" w:eastAsia="仿宋_GB2312" w:cs="Times New Roman"/>
          <w:sz w:val="32"/>
          <w:szCs w:val="32"/>
        </w:rPr>
        <w:t>、“应付职工薪酬”、“应付票据”、“应付账款”、“预收账款”、“长期借款”、“长期应付款”科目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新制度设置了</w:t>
      </w:r>
      <w:r>
        <w:rPr>
          <w:rFonts w:ascii="Times New Roman" w:hAnsi="Times New Roman" w:eastAsia="仿宋_GB2312" w:cs="Times New Roman"/>
          <w:kern w:val="0"/>
          <w:sz w:val="32"/>
          <w:szCs w:val="32"/>
        </w:rPr>
        <w:t>“短期借款”</w:t>
      </w:r>
      <w:r>
        <w:rPr>
          <w:rFonts w:ascii="Times New Roman" w:hAnsi="Times New Roman" w:eastAsia="仿宋_GB2312" w:cs="Times New Roman"/>
          <w:sz w:val="32"/>
          <w:szCs w:val="32"/>
        </w:rPr>
        <w:t>、“应付职工薪酬”、“应付票据”、“应付账款”、“预收账款”、“长期借款”、“长期应付款”科目，</w:t>
      </w:r>
      <w:r>
        <w:rPr>
          <w:rFonts w:ascii="Times New Roman" w:hAnsi="Times New Roman" w:eastAsia="仿宋_GB2312" w:cs="Times New Roman"/>
          <w:kern w:val="0"/>
          <w:sz w:val="32"/>
          <w:szCs w:val="32"/>
        </w:rPr>
        <w:t>这些科目的核算内容与原账的上述相应科目的核算内容基本相同。转账时，高等学校应当将原账的上述科目余额直接转入新账的相应科目。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sz w:val="32"/>
          <w:szCs w:val="32"/>
        </w:rPr>
        <w:t>“应</w:t>
      </w:r>
      <w:r>
        <w:rPr>
          <w:rFonts w:hint="eastAsia" w:ascii="Times New Roman" w:hAnsi="Times New Roman" w:eastAsia="仿宋_GB2312" w:cs="Times New Roman"/>
          <w:sz w:val="32"/>
          <w:szCs w:val="32"/>
        </w:rPr>
        <w:t>缴</w:t>
      </w:r>
      <w:r>
        <w:rPr>
          <w:rFonts w:ascii="Times New Roman" w:hAnsi="Times New Roman" w:eastAsia="仿宋_GB2312" w:cs="Times New Roman"/>
          <w:sz w:val="32"/>
          <w:szCs w:val="32"/>
        </w:rPr>
        <w:t>税费”科目</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新制度设置了“应交增值税”和“其他应交税费”科目，原制度设置了</w:t>
      </w:r>
      <w:r>
        <w:rPr>
          <w:rFonts w:ascii="Times New Roman" w:hAnsi="Times New Roman" w:eastAsia="仿宋_GB2312" w:cs="Times New Roman"/>
          <w:sz w:val="32"/>
          <w:szCs w:val="32"/>
        </w:rPr>
        <w:t>“应缴税费”</w:t>
      </w:r>
      <w:r>
        <w:rPr>
          <w:rFonts w:ascii="Times New Roman" w:hAnsi="Times New Roman" w:eastAsia="仿宋_GB2312" w:cs="Times New Roman"/>
          <w:kern w:val="0"/>
          <w:sz w:val="32"/>
          <w:szCs w:val="32"/>
        </w:rPr>
        <w:t>科目。转账时，高等学校应当将原账的“应缴税费——应缴增值税”科目余额，转入新账“应交增值税”</w:t>
      </w:r>
      <w:r>
        <w:rPr>
          <w:rFonts w:hint="eastAsia" w:ascii="Times New Roman" w:hAnsi="Times New Roman" w:eastAsia="仿宋_GB2312" w:cs="Times New Roman"/>
          <w:kern w:val="0"/>
          <w:sz w:val="32"/>
          <w:szCs w:val="32"/>
        </w:rPr>
        <w:t>科目</w:t>
      </w:r>
      <w:r>
        <w:rPr>
          <w:rFonts w:ascii="Times New Roman" w:hAnsi="Times New Roman" w:eastAsia="仿宋_GB2312" w:cs="Times New Roman"/>
          <w:kern w:val="0"/>
          <w:sz w:val="32"/>
          <w:szCs w:val="32"/>
        </w:rPr>
        <w:t>中的相关明细科目；将原账的“应缴税费”科目余额减去属于应缴增值税余额后的差额，转入新账的“其他应交税费”科目。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（3）</w:t>
      </w:r>
      <w:r>
        <w:rPr>
          <w:rFonts w:ascii="Times New Roman" w:hAnsi="Times New Roman" w:eastAsia="仿宋_GB2312" w:cs="Times New Roman"/>
          <w:sz w:val="32"/>
          <w:szCs w:val="32"/>
        </w:rPr>
        <w:t>“应缴国库款”、“应缴财政专户款”科目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新制度设置了“应缴财政款”科目，</w:t>
      </w:r>
      <w:r>
        <w:rPr>
          <w:rFonts w:hint="eastAsia" w:ascii="Times New Roman" w:hAnsi="Times New Roman" w:eastAsia="仿宋_GB2312" w:cs="Times New Roman"/>
          <w:kern w:val="0"/>
          <w:sz w:val="32"/>
          <w:szCs w:val="32"/>
        </w:rPr>
        <w:t>原制度设置了</w:t>
      </w:r>
      <w:r>
        <w:rPr>
          <w:rFonts w:ascii="Times New Roman" w:hAnsi="Times New Roman" w:eastAsia="仿宋_GB2312" w:cs="Times New Roman"/>
          <w:sz w:val="32"/>
          <w:szCs w:val="32"/>
        </w:rPr>
        <w:t>“应缴国库款”、“应缴财政专户款”</w:t>
      </w:r>
      <w:r>
        <w:rPr>
          <w:rFonts w:ascii="Times New Roman" w:hAnsi="Times New Roman" w:eastAsia="仿宋_GB2312" w:cs="Times New Roman"/>
          <w:kern w:val="0"/>
          <w:sz w:val="32"/>
          <w:szCs w:val="32"/>
        </w:rPr>
        <w:t>科目。转账时，高等学校应当将原账的</w:t>
      </w:r>
      <w:r>
        <w:rPr>
          <w:rFonts w:ascii="Times New Roman" w:hAnsi="Times New Roman" w:eastAsia="仿宋_GB2312" w:cs="Times New Roman"/>
          <w:sz w:val="32"/>
          <w:szCs w:val="32"/>
        </w:rPr>
        <w:t>“应缴国库款”、“应缴财政专户款”</w:t>
      </w:r>
      <w:r>
        <w:rPr>
          <w:rFonts w:ascii="Times New Roman" w:hAnsi="Times New Roman" w:eastAsia="仿宋_GB2312" w:cs="Times New Roman"/>
          <w:kern w:val="0"/>
          <w:sz w:val="32"/>
          <w:szCs w:val="32"/>
        </w:rPr>
        <w:t>科目余额转入新账的“应缴财政款”科目。</w:t>
      </w:r>
    </w:p>
    <w:p>
      <w:pPr>
        <w:ind w:firstLine="42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（4）</w:t>
      </w:r>
      <w:r>
        <w:rPr>
          <w:rFonts w:ascii="Times New Roman" w:hAnsi="Times New Roman" w:eastAsia="仿宋_GB2312" w:cs="Times New Roman"/>
          <w:sz w:val="32"/>
          <w:szCs w:val="32"/>
        </w:rPr>
        <w:t>“其他应付款”科目</w:t>
      </w:r>
    </w:p>
    <w:p>
      <w:pPr>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新制度设置了“其他应付款”科目，该科目的核算内容与原账</w:t>
      </w:r>
      <w:r>
        <w:rPr>
          <w:rFonts w:ascii="Times New Roman" w:hAnsi="Times New Roman" w:eastAsia="仿宋_GB2312" w:cs="Times New Roman"/>
          <w:sz w:val="32"/>
          <w:szCs w:val="32"/>
        </w:rPr>
        <w:t>“其他应付款”</w:t>
      </w:r>
      <w:r>
        <w:rPr>
          <w:rFonts w:ascii="Times New Roman" w:hAnsi="Times New Roman" w:eastAsia="仿宋_GB2312" w:cs="Times New Roman"/>
          <w:kern w:val="0"/>
          <w:sz w:val="32"/>
          <w:szCs w:val="32"/>
        </w:rPr>
        <w:t>科目的核算内容基本相同。转账时，高等学校应当将原账的“其他应付款”科目余额，转入新账的“其他应付款”科目。其中，高等学校在原账的“其他应付款”科目中核算了属于新制度规定的受托代理负债的，应当将原账的“其他应付款”科目余额中属于受托代理负债的余额，转入新账的“受托代理负债”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（5）</w:t>
      </w:r>
      <w:r>
        <w:rPr>
          <w:rFonts w:ascii="Times New Roman" w:hAnsi="Times New Roman" w:eastAsia="仿宋_GB2312" w:cs="Times New Roman"/>
          <w:sz w:val="32"/>
          <w:szCs w:val="32"/>
        </w:rPr>
        <w:t>“代管款项”科目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新制度设置了“受托代理负债”科目，</w:t>
      </w:r>
      <w:r>
        <w:rPr>
          <w:rFonts w:ascii="Times New Roman" w:hAnsi="Times New Roman" w:eastAsia="仿宋_GB2312" w:cs="Times New Roman"/>
          <w:kern w:val="0"/>
          <w:sz w:val="32"/>
          <w:szCs w:val="32"/>
        </w:rPr>
        <w:t>原账的</w:t>
      </w:r>
      <w:r>
        <w:rPr>
          <w:rFonts w:ascii="Times New Roman" w:hAnsi="Times New Roman" w:eastAsia="仿宋_GB2312" w:cs="Times New Roman"/>
          <w:sz w:val="32"/>
          <w:szCs w:val="32"/>
        </w:rPr>
        <w:t>“代管款项”</w:t>
      </w:r>
      <w:r>
        <w:rPr>
          <w:rFonts w:ascii="Times New Roman" w:hAnsi="Times New Roman" w:eastAsia="仿宋_GB2312" w:cs="Times New Roman"/>
          <w:kern w:val="0"/>
          <w:sz w:val="32"/>
          <w:szCs w:val="32"/>
        </w:rPr>
        <w:t>科目的核算内容包括了受托代理负债的内容。转账时，高等学校应当对原账中“代管款项”科目余额进行分析，将其中属于新制度规定受托代理负债的余额转入新账</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“受托代理负债”科目；将不属于受托代理负债的余额，根据偿还期限分别转入新账</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“其他应付款”和“长期应付款”科目。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3.净资产类</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（1）“事业基金”科目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新制度设置了“累计盈余”科目</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该科目</w:t>
      </w:r>
      <w:r>
        <w:rPr>
          <w:rFonts w:hint="eastAsia" w:ascii="Times New Roman" w:hAnsi="Times New Roman" w:eastAsia="仿宋_GB2312" w:cs="Times New Roman"/>
          <w:sz w:val="32"/>
          <w:szCs w:val="32"/>
        </w:rPr>
        <w:t>核算内容</w:t>
      </w:r>
      <w:r>
        <w:rPr>
          <w:rFonts w:ascii="Times New Roman" w:hAnsi="Times New Roman" w:eastAsia="仿宋_GB2312" w:cs="Times New Roman"/>
          <w:sz w:val="32"/>
          <w:szCs w:val="32"/>
        </w:rPr>
        <w:t>包含了原账“事业基金”科目</w:t>
      </w:r>
      <w:r>
        <w:rPr>
          <w:rFonts w:ascii="Times New Roman" w:hAnsi="Times New Roman" w:eastAsia="仿宋_GB2312" w:cs="Times New Roman"/>
          <w:kern w:val="0"/>
          <w:sz w:val="32"/>
          <w:szCs w:val="32"/>
        </w:rPr>
        <w:t>的</w:t>
      </w:r>
      <w:r>
        <w:rPr>
          <w:rFonts w:hint="eastAsia" w:ascii="Times New Roman" w:hAnsi="Times New Roman" w:eastAsia="仿宋_GB2312" w:cs="Times New Roman"/>
          <w:kern w:val="0"/>
          <w:sz w:val="32"/>
          <w:szCs w:val="32"/>
        </w:rPr>
        <w:t>核算</w:t>
      </w:r>
      <w:r>
        <w:rPr>
          <w:rFonts w:ascii="Times New Roman" w:hAnsi="Times New Roman" w:eastAsia="仿宋_GB2312" w:cs="Times New Roman"/>
          <w:kern w:val="0"/>
          <w:sz w:val="32"/>
          <w:szCs w:val="32"/>
        </w:rPr>
        <w:t>内容。转账时，高等学校应当将原账的</w:t>
      </w:r>
      <w:r>
        <w:rPr>
          <w:rFonts w:ascii="Times New Roman" w:hAnsi="Times New Roman" w:eastAsia="仿宋_GB2312" w:cs="Times New Roman"/>
          <w:sz w:val="32"/>
          <w:szCs w:val="32"/>
        </w:rPr>
        <w:t>“事业基金”科目</w:t>
      </w:r>
      <w:r>
        <w:rPr>
          <w:rFonts w:ascii="Times New Roman" w:hAnsi="Times New Roman" w:eastAsia="仿宋_GB2312" w:cs="Times New Roman"/>
          <w:kern w:val="0"/>
          <w:sz w:val="32"/>
          <w:szCs w:val="32"/>
        </w:rPr>
        <w:t>余额</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转入新账的“累计盈余”科目。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（2）“非流动资产基金”科目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依据新制度，无需</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原制度中“非流动资产基金”科目对应内容</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核算。</w:t>
      </w:r>
      <w:r>
        <w:rPr>
          <w:rFonts w:ascii="Times New Roman" w:hAnsi="Times New Roman" w:eastAsia="仿宋_GB2312" w:cs="Times New Roman"/>
          <w:kern w:val="0"/>
          <w:sz w:val="32"/>
          <w:szCs w:val="32"/>
        </w:rPr>
        <w:t>转账时，高等学校应当将原账的</w:t>
      </w:r>
      <w:r>
        <w:rPr>
          <w:rFonts w:ascii="Times New Roman" w:hAnsi="Times New Roman" w:eastAsia="仿宋_GB2312" w:cs="Times New Roman"/>
          <w:sz w:val="32"/>
          <w:szCs w:val="32"/>
        </w:rPr>
        <w:t>“非流动资产基金”</w:t>
      </w:r>
      <w:r>
        <w:rPr>
          <w:rFonts w:ascii="Times New Roman" w:hAnsi="Times New Roman" w:eastAsia="仿宋_GB2312" w:cs="Times New Roman"/>
          <w:kern w:val="0"/>
          <w:sz w:val="32"/>
          <w:szCs w:val="32"/>
        </w:rPr>
        <w:t>科目余额转入新账的“累计盈余”科目。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高等学校有使用受托代理资金购买的固定资产</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转账时，应</w:t>
      </w:r>
      <w:r>
        <w:rPr>
          <w:rFonts w:ascii="Times New Roman" w:hAnsi="Times New Roman" w:eastAsia="仿宋_GB2312" w:cs="Times New Roman"/>
          <w:kern w:val="0"/>
          <w:sz w:val="32"/>
          <w:szCs w:val="32"/>
        </w:rPr>
        <w:t>当将</w:t>
      </w:r>
      <w:r>
        <w:rPr>
          <w:rFonts w:hint="eastAsia" w:ascii="Times New Roman" w:hAnsi="Times New Roman" w:eastAsia="仿宋_GB2312" w:cs="Times New Roman"/>
          <w:kern w:val="0"/>
          <w:sz w:val="32"/>
          <w:szCs w:val="32"/>
        </w:rPr>
        <w:t>“非流动资产基金——固定资产”科目余额中属于受托代理固定资产原值的金额转入</w:t>
      </w:r>
      <w:r>
        <w:rPr>
          <w:rFonts w:ascii="Times New Roman" w:hAnsi="Times New Roman" w:eastAsia="仿宋_GB2312" w:cs="Times New Roman"/>
          <w:kern w:val="0"/>
          <w:sz w:val="32"/>
          <w:szCs w:val="32"/>
        </w:rPr>
        <w:t>新账的“受托代理</w:t>
      </w:r>
      <w:r>
        <w:rPr>
          <w:rFonts w:hint="eastAsia" w:ascii="Times New Roman" w:hAnsi="Times New Roman" w:eastAsia="仿宋_GB2312" w:cs="Times New Roman"/>
          <w:kern w:val="0"/>
          <w:sz w:val="32"/>
          <w:szCs w:val="32"/>
        </w:rPr>
        <w:t>负债</w:t>
      </w:r>
      <w:r>
        <w:rPr>
          <w:rFonts w:ascii="Times New Roman" w:hAnsi="Times New Roman" w:eastAsia="仿宋_GB2312" w:cs="Times New Roman"/>
          <w:kern w:val="0"/>
          <w:sz w:val="32"/>
          <w:szCs w:val="32"/>
        </w:rPr>
        <w:t>”科目。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3）“专用基金”科目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新制度设置了“专用基金”科目，该科目的核算内容与原账“专用基金”</w:t>
      </w:r>
      <w:r>
        <w:rPr>
          <w:rFonts w:ascii="Times New Roman" w:hAnsi="Times New Roman" w:eastAsia="仿宋_GB2312" w:cs="Times New Roman"/>
          <w:kern w:val="0"/>
          <w:sz w:val="32"/>
          <w:szCs w:val="32"/>
        </w:rPr>
        <w:t>科目的核算内容基本相同。转账时，高等学校应当将原账的</w:t>
      </w:r>
      <w:r>
        <w:rPr>
          <w:rFonts w:ascii="Times New Roman" w:hAnsi="Times New Roman" w:eastAsia="仿宋_GB2312" w:cs="Times New Roman"/>
          <w:sz w:val="32"/>
          <w:szCs w:val="32"/>
        </w:rPr>
        <w:t>“专用基金”</w:t>
      </w:r>
      <w:r>
        <w:rPr>
          <w:rFonts w:ascii="Times New Roman" w:hAnsi="Times New Roman" w:eastAsia="仿宋_GB2312" w:cs="Times New Roman"/>
          <w:kern w:val="0"/>
          <w:sz w:val="32"/>
          <w:szCs w:val="32"/>
        </w:rPr>
        <w:t>科目余额转入新账的“专用基金”科目。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（4）“财政补助结转”、“财政补助结余”、“非财政补助结转”科目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新制度设置了“累计盈余”科目，该科目的余额包含了原账的“财政补助结转”、“财政补助结余”、“非财政补助结转”科目</w:t>
      </w:r>
      <w:r>
        <w:rPr>
          <w:rFonts w:ascii="Times New Roman" w:hAnsi="Times New Roman" w:eastAsia="仿宋_GB2312" w:cs="Times New Roman"/>
          <w:kern w:val="0"/>
          <w:sz w:val="32"/>
          <w:szCs w:val="32"/>
        </w:rPr>
        <w:t>的余额内容。转账时，高等学校应当将原账的</w:t>
      </w:r>
      <w:r>
        <w:rPr>
          <w:rFonts w:ascii="Times New Roman" w:hAnsi="Times New Roman" w:eastAsia="仿宋_GB2312" w:cs="Times New Roman"/>
          <w:sz w:val="32"/>
          <w:szCs w:val="32"/>
        </w:rPr>
        <w:t>“财政补助结转”、“财政补助结余”、“非财政补助结转”科目</w:t>
      </w:r>
      <w:r>
        <w:rPr>
          <w:rFonts w:ascii="Times New Roman" w:hAnsi="Times New Roman" w:eastAsia="仿宋_GB2312" w:cs="Times New Roman"/>
          <w:kern w:val="0"/>
          <w:sz w:val="32"/>
          <w:szCs w:val="32"/>
        </w:rPr>
        <w:t>余额</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转入新账的“累计盈余”科目。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（5）“经营结余”科目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新制度设置了“本期盈余”科目，该科目的核算内容包含了原账“经营结余”</w:t>
      </w:r>
      <w:r>
        <w:rPr>
          <w:rFonts w:ascii="Times New Roman" w:hAnsi="Times New Roman" w:eastAsia="仿宋_GB2312" w:cs="Times New Roman"/>
          <w:kern w:val="0"/>
          <w:sz w:val="32"/>
          <w:szCs w:val="32"/>
        </w:rPr>
        <w:t>科目的核算内容。新制度规定</w:t>
      </w:r>
      <w:r>
        <w:rPr>
          <w:rFonts w:ascii="Times New Roman" w:hAnsi="Times New Roman" w:eastAsia="仿宋_GB2312" w:cs="Times New Roman"/>
          <w:sz w:val="32"/>
          <w:szCs w:val="32"/>
        </w:rPr>
        <w:t>“本期盈余”科目余额最终转入“累计盈余”科目，</w:t>
      </w:r>
      <w:r>
        <w:rPr>
          <w:rFonts w:ascii="Times New Roman" w:hAnsi="Times New Roman" w:eastAsia="仿宋_GB2312" w:cs="Times New Roman"/>
          <w:kern w:val="0"/>
          <w:sz w:val="32"/>
          <w:szCs w:val="32"/>
        </w:rPr>
        <w:t>如果原账</w:t>
      </w:r>
      <w:r>
        <w:rPr>
          <w:rFonts w:ascii="Times New Roman" w:hAnsi="Times New Roman" w:eastAsia="仿宋_GB2312" w:cs="Times New Roman"/>
          <w:sz w:val="32"/>
          <w:szCs w:val="32"/>
        </w:rPr>
        <w:t>的“经营结余”</w:t>
      </w:r>
      <w:r>
        <w:rPr>
          <w:rFonts w:ascii="Times New Roman" w:hAnsi="Times New Roman" w:eastAsia="仿宋_GB2312" w:cs="Times New Roman"/>
          <w:kern w:val="0"/>
          <w:sz w:val="32"/>
          <w:szCs w:val="32"/>
        </w:rPr>
        <w:t>科目有借方余额，转账时，高等学校应当将原账的</w:t>
      </w:r>
      <w:r>
        <w:rPr>
          <w:rFonts w:ascii="Times New Roman" w:hAnsi="Times New Roman" w:eastAsia="仿宋_GB2312" w:cs="Times New Roman"/>
          <w:sz w:val="32"/>
          <w:szCs w:val="32"/>
        </w:rPr>
        <w:t>“经营结余”</w:t>
      </w:r>
      <w:r>
        <w:rPr>
          <w:rFonts w:ascii="Times New Roman" w:hAnsi="Times New Roman" w:eastAsia="仿宋_GB2312" w:cs="Times New Roman"/>
          <w:kern w:val="0"/>
          <w:sz w:val="32"/>
          <w:szCs w:val="32"/>
        </w:rPr>
        <w:t>科目借方余额转入新账的“累计盈余”科目借方。</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（6）“事业结余”、“非财政补助结余分配”科目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由于原账的“事业结余”、“非财政补助结余分配”科目年末无余额，这两个科目</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需进行转账处理。</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4.收入类、支出类</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由于原账中收入类、支出类科目年末无余额，</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需进行转账处理。自2019年1月1日起，</w:t>
      </w:r>
      <w:r>
        <w:rPr>
          <w:rFonts w:hint="eastAsia" w:ascii="Times New Roman" w:hAnsi="Times New Roman" w:eastAsia="仿宋_GB2312" w:cs="Times New Roman"/>
          <w:sz w:val="32"/>
          <w:szCs w:val="32"/>
        </w:rPr>
        <w:t>高等学校</w:t>
      </w:r>
      <w:r>
        <w:rPr>
          <w:rFonts w:ascii="Times New Roman" w:hAnsi="Times New Roman" w:eastAsia="仿宋_GB2312" w:cs="Times New Roman"/>
          <w:sz w:val="32"/>
          <w:szCs w:val="32"/>
        </w:rPr>
        <w:t>应当按照新制度设置收入类、费用类科目并进行账务处理。</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w:t>
      </w:r>
      <w:r>
        <w:rPr>
          <w:rFonts w:hint="eastAsia" w:ascii="Times New Roman" w:hAnsi="Times New Roman" w:eastAsia="仿宋_GB2312" w:cs="Times New Roman"/>
          <w:sz w:val="32"/>
          <w:szCs w:val="32"/>
        </w:rPr>
        <w:t>存在</w:t>
      </w:r>
      <w:r>
        <w:rPr>
          <w:rFonts w:ascii="Times New Roman" w:hAnsi="Times New Roman" w:eastAsia="仿宋_GB2312" w:cs="Times New Roman"/>
          <w:sz w:val="32"/>
          <w:szCs w:val="32"/>
        </w:rPr>
        <w:t>其他本规定未列举的原账科目余额</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，应当比照本规定转入新账的相应科目。新账的科目设有明细科目的，应将原账中对应科目的余额加以分析，分别转入新账中相应科目的相关明细科目。</w:t>
      </w:r>
    </w:p>
    <w:p>
      <w:pPr>
        <w:widowControl/>
        <w:ind w:firstLine="704" w:firstLineChars="22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高等学校在进行新旧衔接的转账时，应当编制转账的工作分录，作为转账的工作底稿，并将转入新账的对应原</w:t>
      </w:r>
      <w:r>
        <w:rPr>
          <w:rFonts w:hint="eastAsia" w:ascii="Times New Roman" w:hAnsi="Times New Roman" w:eastAsia="仿宋_GB2312" w:cs="Times New Roman"/>
          <w:sz w:val="32"/>
          <w:szCs w:val="32"/>
        </w:rPr>
        <w:t>科目</w:t>
      </w:r>
      <w:r>
        <w:rPr>
          <w:rFonts w:ascii="Times New Roman" w:hAnsi="Times New Roman" w:eastAsia="仿宋_GB2312" w:cs="Times New Roman"/>
          <w:sz w:val="32"/>
          <w:szCs w:val="32"/>
        </w:rPr>
        <w:t>余额及分拆原</w:t>
      </w:r>
      <w:r>
        <w:rPr>
          <w:rFonts w:hint="eastAsia" w:ascii="Times New Roman" w:hAnsi="Times New Roman" w:eastAsia="仿宋_GB2312" w:cs="Times New Roman"/>
          <w:sz w:val="32"/>
          <w:szCs w:val="32"/>
        </w:rPr>
        <w:t>科目</w:t>
      </w:r>
      <w:r>
        <w:rPr>
          <w:rFonts w:ascii="Times New Roman" w:hAnsi="Times New Roman" w:eastAsia="仿宋_GB2312" w:cs="Times New Roman"/>
          <w:sz w:val="32"/>
          <w:szCs w:val="32"/>
        </w:rPr>
        <w:t>余额的依据</w:t>
      </w:r>
      <w:r>
        <w:rPr>
          <w:rFonts w:hint="eastAsia" w:ascii="Times New Roman" w:hAnsi="Times New Roman" w:eastAsia="仿宋_GB2312" w:cs="Times New Roman"/>
          <w:sz w:val="32"/>
          <w:szCs w:val="32"/>
        </w:rPr>
        <w:t>作为</w:t>
      </w:r>
      <w:r>
        <w:rPr>
          <w:rFonts w:ascii="Times New Roman" w:hAnsi="Times New Roman" w:eastAsia="仿宋_GB2312" w:cs="Times New Roman"/>
          <w:sz w:val="32"/>
          <w:szCs w:val="32"/>
        </w:rPr>
        <w:t>原始凭证。</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（二）将原未入账事项登记新账财务会计科目</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w:t>
      </w:r>
      <w:r>
        <w:rPr>
          <w:rFonts w:ascii="Times New Roman" w:hAnsi="Times New Roman" w:eastAsia="仿宋_GB2312" w:cs="Times New Roman"/>
          <w:kern w:val="0"/>
          <w:sz w:val="32"/>
          <w:szCs w:val="32"/>
        </w:rPr>
        <w:t>应收股利</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高等学校</w:t>
      </w:r>
      <w:r>
        <w:rPr>
          <w:rFonts w:ascii="Times New Roman" w:hAnsi="Times New Roman" w:eastAsia="仿宋_GB2312" w:cs="Times New Roman"/>
          <w:kern w:val="0"/>
          <w:sz w:val="32"/>
          <w:szCs w:val="32"/>
        </w:rPr>
        <w:t>在新旧制度转换时，应当将2018年12月31日前未入账的应收股利按照新制度规定记入新账。登记新账时，按照确定的应收股利金额，借记“应收股利”科目，贷记“累计盈余”科目。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2.研发支出</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高等学校</w:t>
      </w:r>
      <w:r>
        <w:rPr>
          <w:rFonts w:ascii="Times New Roman" w:hAnsi="Times New Roman" w:eastAsia="仿宋_GB2312" w:cs="Times New Roman"/>
          <w:kern w:val="0"/>
          <w:sz w:val="32"/>
          <w:szCs w:val="32"/>
        </w:rPr>
        <w:t>在新旧制度转换时，应当将2018年12月31日前未入账的自行研究开发项目开发阶段的费用按照新制度规定记入新账。登记新账时，按照确定的开发阶段费用金额，借记“研发支出”科目，贷记“累计盈余”科目。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3.受托代理资产</w:t>
      </w:r>
    </w:p>
    <w:p>
      <w:pPr>
        <w:ind w:firstLine="704" w:firstLineChars="22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高等学校</w:t>
      </w:r>
      <w:r>
        <w:rPr>
          <w:rFonts w:ascii="Times New Roman" w:hAnsi="Times New Roman" w:eastAsia="仿宋_GB2312" w:cs="Times New Roman"/>
          <w:kern w:val="0"/>
          <w:sz w:val="32"/>
          <w:szCs w:val="32"/>
        </w:rPr>
        <w:t>在新旧制度转换时，应当将2018年12月31日前未入账的受托代理</w:t>
      </w:r>
      <w:r>
        <w:rPr>
          <w:rFonts w:hint="eastAsia" w:ascii="Times New Roman" w:hAnsi="Times New Roman" w:eastAsia="仿宋_GB2312" w:cs="Times New Roman"/>
          <w:kern w:val="0"/>
          <w:sz w:val="32"/>
          <w:szCs w:val="32"/>
        </w:rPr>
        <w:t>资产</w:t>
      </w:r>
      <w:r>
        <w:rPr>
          <w:rFonts w:ascii="Times New Roman" w:hAnsi="Times New Roman" w:eastAsia="仿宋_GB2312" w:cs="Times New Roman"/>
          <w:kern w:val="0"/>
          <w:sz w:val="32"/>
          <w:szCs w:val="32"/>
        </w:rPr>
        <w:t>按照新制度规定记入新账。登记新账时，按照确定的受托代理</w:t>
      </w:r>
      <w:r>
        <w:rPr>
          <w:rFonts w:hint="eastAsia" w:ascii="Times New Roman" w:hAnsi="Times New Roman" w:eastAsia="仿宋_GB2312" w:cs="Times New Roman"/>
          <w:kern w:val="0"/>
          <w:sz w:val="32"/>
          <w:szCs w:val="32"/>
        </w:rPr>
        <w:t>资产</w:t>
      </w:r>
      <w:r>
        <w:rPr>
          <w:rFonts w:ascii="Times New Roman" w:hAnsi="Times New Roman" w:eastAsia="仿宋_GB2312" w:cs="Times New Roman"/>
          <w:kern w:val="0"/>
          <w:sz w:val="32"/>
          <w:szCs w:val="32"/>
        </w:rPr>
        <w:t>金额，借记“受托代理资产”科目，贷记“受托代理负债”科目。</w:t>
      </w:r>
    </w:p>
    <w:p>
      <w:pPr>
        <w:autoSpaceDE w:val="0"/>
        <w:autoSpaceDN w:val="0"/>
        <w:adjustRightInd w:val="0"/>
        <w:ind w:firstLine="704" w:firstLineChars="22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4.盘盈资产</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高等学校在新旧制度转换时，应当将2018年12月31日前未入账的盘盈资产按照新制度规定记入新账。登记新账时，按照确定的盘盈资产及其</w:t>
      </w:r>
      <w:r>
        <w:rPr>
          <w:rFonts w:hint="eastAsia" w:ascii="Times New Roman" w:hAnsi="Times New Roman" w:eastAsia="仿宋_GB2312" w:cs="Times New Roman"/>
          <w:kern w:val="0"/>
          <w:sz w:val="32"/>
          <w:szCs w:val="32"/>
        </w:rPr>
        <w:t>成本</w:t>
      </w:r>
      <w:r>
        <w:rPr>
          <w:rFonts w:ascii="Times New Roman" w:hAnsi="Times New Roman" w:eastAsia="仿宋_GB2312" w:cs="Times New Roman"/>
          <w:kern w:val="0"/>
          <w:sz w:val="32"/>
          <w:szCs w:val="32"/>
        </w:rPr>
        <w:t>，借记有关资产科目，</w:t>
      </w:r>
      <w:r>
        <w:rPr>
          <w:rFonts w:hint="eastAsia" w:ascii="Times New Roman" w:hAnsi="Times New Roman" w:eastAsia="仿宋_GB2312" w:cs="Times New Roman"/>
          <w:kern w:val="0"/>
          <w:sz w:val="32"/>
          <w:szCs w:val="32"/>
        </w:rPr>
        <w:t>按照盘盈资产成本的合计金额，</w:t>
      </w:r>
      <w:r>
        <w:rPr>
          <w:rFonts w:ascii="Times New Roman" w:hAnsi="Times New Roman" w:eastAsia="仿宋_GB2312" w:cs="Times New Roman"/>
          <w:kern w:val="0"/>
          <w:sz w:val="32"/>
          <w:szCs w:val="32"/>
        </w:rPr>
        <w:t>贷记“累计盈余”科目。</w:t>
      </w:r>
    </w:p>
    <w:p>
      <w:pPr>
        <w:autoSpaceDE w:val="0"/>
        <w:autoSpaceDN w:val="0"/>
        <w:adjustRightInd w:val="0"/>
        <w:ind w:firstLine="704" w:firstLineChars="22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5.应付质量保证金</w:t>
      </w:r>
    </w:p>
    <w:p>
      <w:pPr>
        <w:autoSpaceDE w:val="0"/>
        <w:autoSpaceDN w:val="0"/>
        <w:adjustRightInd w:val="0"/>
        <w:ind w:firstLine="704" w:firstLineChars="22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高等学校</w:t>
      </w:r>
      <w:r>
        <w:rPr>
          <w:rFonts w:ascii="Times New Roman" w:hAnsi="Times New Roman" w:eastAsia="仿宋_GB2312" w:cs="Times New Roman"/>
          <w:kern w:val="0"/>
          <w:sz w:val="32"/>
          <w:szCs w:val="32"/>
        </w:rPr>
        <w:t>在新旧制度转换时，应当将2018年12月31日前未入账</w:t>
      </w:r>
      <w:r>
        <w:rPr>
          <w:rFonts w:ascii="Times New Roman" w:hAnsi="Times New Roman" w:eastAsia="仿宋_GB2312" w:cs="Times New Roman"/>
          <w:sz w:val="32"/>
          <w:szCs w:val="32"/>
        </w:rPr>
        <w:t>的应付质量保证金</w:t>
      </w:r>
      <w:r>
        <w:rPr>
          <w:rFonts w:ascii="Times New Roman" w:hAnsi="Times New Roman" w:eastAsia="仿宋_GB2312" w:cs="Times New Roman"/>
          <w:kern w:val="0"/>
          <w:sz w:val="32"/>
          <w:szCs w:val="32"/>
        </w:rPr>
        <w:t>按照新制度规定记入新账。登记新账时</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按照确定未入账的应付质量保证金金额，</w:t>
      </w:r>
      <w:r>
        <w:rPr>
          <w:rFonts w:ascii="Times New Roman" w:hAnsi="Times New Roman" w:eastAsia="仿宋_GB2312" w:cs="Times New Roman"/>
          <w:sz w:val="32"/>
          <w:szCs w:val="32"/>
        </w:rPr>
        <w:t>借记“</w:t>
      </w:r>
      <w:r>
        <w:rPr>
          <w:rFonts w:ascii="Times New Roman" w:hAnsi="Times New Roman" w:eastAsia="仿宋_GB2312" w:cs="Times New Roman"/>
          <w:kern w:val="0"/>
          <w:sz w:val="32"/>
          <w:szCs w:val="32"/>
        </w:rPr>
        <w:t>累计盈余</w:t>
      </w:r>
      <w:r>
        <w:rPr>
          <w:rFonts w:ascii="Times New Roman" w:hAnsi="Times New Roman" w:eastAsia="仿宋_GB2312" w:cs="Times New Roman"/>
          <w:sz w:val="32"/>
          <w:szCs w:val="32"/>
        </w:rPr>
        <w:t>”科目，贷记“其他应付款”</w:t>
      </w:r>
      <w:r>
        <w:rPr>
          <w:rFonts w:hint="eastAsia" w:ascii="Times New Roman" w:hAnsi="Times New Roman" w:eastAsia="仿宋_GB2312" w:cs="Times New Roman"/>
          <w:sz w:val="32"/>
          <w:szCs w:val="32"/>
        </w:rPr>
        <w:t>科目</w:t>
      </w:r>
      <w:r>
        <w:rPr>
          <w:rFonts w:ascii="Times New Roman" w:hAnsi="Times New Roman" w:eastAsia="仿宋_GB2312" w:cs="Times New Roman"/>
          <w:sz w:val="32"/>
          <w:szCs w:val="32"/>
        </w:rPr>
        <w:t>[扣留期在1年以内（含1年）]、“长期应付款”</w:t>
      </w:r>
      <w:r>
        <w:rPr>
          <w:rFonts w:hint="eastAsia" w:ascii="Times New Roman" w:hAnsi="Times New Roman" w:eastAsia="仿宋_GB2312" w:cs="Times New Roman"/>
          <w:sz w:val="32"/>
          <w:szCs w:val="32"/>
        </w:rPr>
        <w:t>科目</w:t>
      </w:r>
      <w:r>
        <w:rPr>
          <w:rFonts w:ascii="Times New Roman" w:hAnsi="Times New Roman" w:eastAsia="仿宋_GB2312" w:cs="Times New Roman"/>
          <w:sz w:val="32"/>
          <w:szCs w:val="32"/>
        </w:rPr>
        <w:t>[扣留期超过1年]。</w:t>
      </w:r>
    </w:p>
    <w:p>
      <w:pPr>
        <w:autoSpaceDE w:val="0"/>
        <w:autoSpaceDN w:val="0"/>
        <w:adjustRightInd w:val="0"/>
        <w:ind w:firstLine="704" w:firstLineChars="220"/>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w:t>
      </w:r>
      <w:r>
        <w:rPr>
          <w:rFonts w:ascii="Times New Roman" w:hAnsi="Times New Roman" w:eastAsia="仿宋_GB2312" w:cs="Times New Roman"/>
          <w:sz w:val="32"/>
          <w:szCs w:val="32"/>
        </w:rPr>
        <w:t>预计负债</w:t>
      </w:r>
    </w:p>
    <w:p>
      <w:pPr>
        <w:autoSpaceDE w:val="0"/>
        <w:autoSpaceDN w:val="0"/>
        <w:adjustRightInd w:val="0"/>
        <w:ind w:firstLine="704" w:firstLineChars="220"/>
        <w:jc w:val="left"/>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高等学校</w:t>
      </w:r>
      <w:r>
        <w:rPr>
          <w:rFonts w:ascii="Times New Roman" w:hAnsi="Times New Roman" w:eastAsia="仿宋_GB2312" w:cs="Times New Roman"/>
          <w:kern w:val="0"/>
          <w:sz w:val="32"/>
          <w:szCs w:val="32"/>
        </w:rPr>
        <w:t>在新旧制度转换时，应当将2018年12月31日</w:t>
      </w:r>
      <w:r>
        <w:rPr>
          <w:rFonts w:hint="eastAsia" w:ascii="Times New Roman" w:hAnsi="Times New Roman" w:eastAsia="仿宋_GB2312" w:cs="Times New Roman"/>
          <w:kern w:val="0"/>
          <w:sz w:val="32"/>
          <w:szCs w:val="32"/>
        </w:rPr>
        <w:t>按照新制度规定确认</w:t>
      </w:r>
      <w:r>
        <w:rPr>
          <w:rFonts w:ascii="Times New Roman" w:hAnsi="Times New Roman" w:eastAsia="仿宋_GB2312" w:cs="Times New Roman"/>
          <w:kern w:val="0"/>
          <w:sz w:val="32"/>
          <w:szCs w:val="32"/>
        </w:rPr>
        <w:t>的预计负债记入新账。登记新账时，按照确定的预计负债金额，借记“累计盈余”科目，贷记“预计负债”科目。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w:t>
      </w:r>
      <w:r>
        <w:rPr>
          <w:rFonts w:hint="eastAsia" w:ascii="Times New Roman" w:hAnsi="Times New Roman" w:eastAsia="仿宋_GB2312" w:cs="Times New Roman"/>
          <w:sz w:val="32"/>
          <w:szCs w:val="32"/>
        </w:rPr>
        <w:t>存在</w:t>
      </w:r>
      <w:r>
        <w:rPr>
          <w:rFonts w:ascii="Times New Roman" w:hAnsi="Times New Roman" w:eastAsia="仿宋_GB2312" w:cs="Times New Roman"/>
          <w:sz w:val="32"/>
          <w:szCs w:val="32"/>
        </w:rPr>
        <w:t>2018年12月31日前未入账的其他事项，应当比照本规定登记新账的相应科目。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高等学校对新账的财务会计</w:t>
      </w:r>
      <w:r>
        <w:rPr>
          <w:rFonts w:hint="eastAsia" w:ascii="Times New Roman" w:hAnsi="Times New Roman" w:eastAsia="仿宋_GB2312" w:cs="Times New Roman"/>
          <w:sz w:val="32"/>
          <w:szCs w:val="32"/>
        </w:rPr>
        <w:t>科目</w:t>
      </w:r>
      <w:r>
        <w:rPr>
          <w:rFonts w:ascii="Times New Roman" w:hAnsi="Times New Roman" w:eastAsia="仿宋_GB2312" w:cs="Times New Roman"/>
          <w:sz w:val="32"/>
          <w:szCs w:val="32"/>
        </w:rPr>
        <w:t>补记未入账事项时，应当编制记账凭证，并将补充登记事项的确认依据</w:t>
      </w:r>
      <w:r>
        <w:rPr>
          <w:rFonts w:hint="eastAsia" w:ascii="Times New Roman" w:hAnsi="Times New Roman" w:eastAsia="仿宋_GB2312" w:cs="Times New Roman"/>
          <w:sz w:val="32"/>
          <w:szCs w:val="32"/>
        </w:rPr>
        <w:t>作为</w:t>
      </w:r>
      <w:r>
        <w:rPr>
          <w:rFonts w:ascii="Times New Roman" w:hAnsi="Times New Roman" w:eastAsia="仿宋_GB2312" w:cs="Times New Roman"/>
          <w:sz w:val="32"/>
          <w:szCs w:val="32"/>
        </w:rPr>
        <w:t>原始凭证。</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（三）对新账的相关财务会计科目余额按照新制度</w:t>
      </w:r>
      <w:r>
        <w:rPr>
          <w:rFonts w:hint="eastAsia" w:ascii="Times New Roman" w:hAnsi="Times New Roman" w:eastAsia="仿宋_GB2312" w:cs="Times New Roman"/>
          <w:sz w:val="32"/>
          <w:szCs w:val="32"/>
        </w:rPr>
        <w:t>规定的</w:t>
      </w:r>
      <w:r>
        <w:rPr>
          <w:rFonts w:ascii="Times New Roman" w:hAnsi="Times New Roman" w:eastAsia="仿宋_GB2312" w:cs="Times New Roman"/>
          <w:sz w:val="32"/>
          <w:szCs w:val="32"/>
        </w:rPr>
        <w:t>会计核算基础进行调整</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1.计提坏账准备</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要求对单位收回后无需上缴财政的应收账款和其他应收款提取坏账准备。在新旧制度转换时，高等学校应当按照2018年12月31日无需上缴财政的应收账款和其他应收款的余额计算应计提的坏账准备金额，借记“累计盈余”科目，贷记“坏账准备”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2.按照权益法调整长期股权投资账面余额</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按照新制度规定应当采用权益法核算的长期股权投资，在新旧制度转换时，单位应当在“长期股权投资”科目下设置“新旧制度转换调整”明细科目，依据被投资单位2018年12月31日财务报表的所有者权益账面余额，以及单位持有被投资单位的股权比例，计算应享有或应分担的被投资单位所有者权益的份额，调整长期股权投资的账面余额，借记或贷记“长期股权投资——新旧制度转换调整”科目，贷记或借记“累计盈余”科目。</w:t>
      </w:r>
    </w:p>
    <w:p>
      <w:pPr>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高等学校对已经持有，且处于停产、半停产、连年亏损、资不抵债</w:t>
      </w:r>
      <w:r>
        <w:rPr>
          <w:rFonts w:hint="eastAsia" w:ascii="Times New Roman" w:eastAsia="仿宋_GB2312" w:cs="Times New Roman"/>
          <w:sz w:val="32"/>
          <w:szCs w:val="32"/>
        </w:rPr>
        <w:t>、</w:t>
      </w:r>
      <w:r>
        <w:rPr>
          <w:rFonts w:ascii="Times New Roman" w:eastAsia="仿宋_GB2312" w:cs="Times New Roman"/>
          <w:sz w:val="32"/>
          <w:szCs w:val="32"/>
        </w:rPr>
        <w:t>主要靠政府补贴和学校续贷维持经营的被投资单位的投资，</w:t>
      </w:r>
      <w:r>
        <w:rPr>
          <w:rFonts w:hint="eastAsia" w:ascii="Times New Roman" w:eastAsia="仿宋_GB2312" w:cs="Times New Roman"/>
          <w:sz w:val="32"/>
          <w:szCs w:val="32"/>
        </w:rPr>
        <w:t>在新旧制度转换时</w:t>
      </w:r>
      <w:r>
        <w:rPr>
          <w:rFonts w:ascii="Times New Roman" w:eastAsia="仿宋_GB2312" w:cs="Times New Roman"/>
          <w:sz w:val="32"/>
          <w:szCs w:val="32"/>
        </w:rPr>
        <w:t>可</w:t>
      </w:r>
      <w:r>
        <w:rPr>
          <w:rFonts w:hint="eastAsia" w:ascii="Times New Roman" w:eastAsia="仿宋_GB2312" w:cs="Times New Roman"/>
          <w:sz w:val="32"/>
          <w:szCs w:val="32"/>
        </w:rPr>
        <w:t>继续</w:t>
      </w:r>
      <w:r>
        <w:rPr>
          <w:rFonts w:ascii="Times New Roman" w:eastAsia="仿宋_GB2312" w:cs="Times New Roman"/>
          <w:sz w:val="32"/>
          <w:szCs w:val="32"/>
        </w:rPr>
        <w:t>采用成本法进行核算。</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3.确认长期债券投资期末应收利息</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按照新制度规定于2019年1月1日补记长期债券投资应收利息，按照长期债券投资的应收利息金额，借记“长期债券投资”科目［到期一次还本付息］或“应收利息”科目［分期付息、到期还本］，贷记“累计盈余”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4.补提折旧</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高等学校在原账中尚未计提固定资产折旧的，应当全面核查截至2018年12月31日的固定资产的预计使用年限、已使用年限、尚可使用年限等，并于</w:t>
      </w:r>
      <w:r>
        <w:rPr>
          <w:rFonts w:ascii="Times New Roman" w:hAnsi="Times New Roman" w:eastAsia="仿宋_GB2312" w:cs="Times New Roman"/>
          <w:sz w:val="32"/>
          <w:szCs w:val="32"/>
        </w:rPr>
        <w:t>2019年1月1日对尚未计提折旧的固定资产补提折旧，按照应计提的折旧金额，借记“累计盈余”科目，贷记“固定资产累计折旧”科目。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5.补提摊销</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高等学校在原账中尚未计提无形资产摊销的，应当全面核查截至2018年12月31日无形资产的预计使用年限、已使用年限、尚可使用年限等，并于</w:t>
      </w:r>
      <w:r>
        <w:rPr>
          <w:rFonts w:ascii="Times New Roman" w:hAnsi="Times New Roman" w:eastAsia="仿宋_GB2312" w:cs="Times New Roman"/>
          <w:sz w:val="32"/>
          <w:szCs w:val="32"/>
        </w:rPr>
        <w:t>2019年1月1日对前期尚未计提摊销的无形资产补提摊销，按照应计提的摊销金额，借记“累计盈余”科目，贷记“无形资产累计摊销”科目。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6.确认长期借款期末应付利息</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按照新制度规定于2019年1月1日补记长期借款的应付利息金额，对其中资本化的部分，借记“在建工程”科目，对其中费用化的部分，借记“累计盈余”科目，按照全部长期借款应付利息金额，贷记“长期借款”科目［到期一次还本付息］或“应付利息”科目［分期付息、到期还本］。</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高等学校对新账的财务会计</w:t>
      </w:r>
      <w:r>
        <w:rPr>
          <w:rFonts w:hint="eastAsia" w:ascii="Times New Roman" w:hAnsi="Times New Roman" w:eastAsia="仿宋_GB2312" w:cs="Times New Roman"/>
          <w:sz w:val="32"/>
          <w:szCs w:val="32"/>
        </w:rPr>
        <w:t>科目</w:t>
      </w:r>
      <w:r>
        <w:rPr>
          <w:rFonts w:ascii="Times New Roman" w:hAnsi="Times New Roman" w:eastAsia="仿宋_GB2312" w:cs="Times New Roman"/>
          <w:sz w:val="32"/>
          <w:szCs w:val="32"/>
        </w:rPr>
        <w:t>期初余额进行调整时，应当编制记账凭证，并将调整事项的确认依据</w:t>
      </w:r>
      <w:r>
        <w:rPr>
          <w:rFonts w:hint="eastAsia" w:ascii="Times New Roman" w:hAnsi="Times New Roman" w:eastAsia="仿宋_GB2312" w:cs="Times New Roman"/>
          <w:sz w:val="32"/>
          <w:szCs w:val="32"/>
        </w:rPr>
        <w:t>作为</w:t>
      </w:r>
      <w:r>
        <w:rPr>
          <w:rFonts w:ascii="Times New Roman" w:hAnsi="Times New Roman" w:eastAsia="仿宋_GB2312" w:cs="Times New Roman"/>
          <w:sz w:val="32"/>
          <w:szCs w:val="32"/>
        </w:rPr>
        <w:t>原始凭证。</w:t>
      </w:r>
    </w:p>
    <w:p>
      <w:pPr>
        <w:ind w:firstLine="704" w:firstLineChars="220"/>
        <w:rPr>
          <w:rFonts w:ascii="黑体" w:hAnsi="黑体" w:eastAsia="黑体" w:cs="Times New Roman"/>
          <w:bCs/>
          <w:sz w:val="32"/>
          <w:szCs w:val="32"/>
        </w:rPr>
      </w:pPr>
      <w:r>
        <w:rPr>
          <w:rFonts w:ascii="黑体" w:hAnsi="黑体" w:eastAsia="黑体" w:cs="Times New Roman"/>
          <w:bCs/>
          <w:sz w:val="32"/>
          <w:szCs w:val="32"/>
        </w:rPr>
        <w:t>三、预算会计</w:t>
      </w:r>
      <w:r>
        <w:rPr>
          <w:rFonts w:hint="eastAsia" w:ascii="黑体" w:hAnsi="黑体" w:eastAsia="黑体" w:cs="Times New Roman"/>
          <w:bCs/>
          <w:sz w:val="32"/>
          <w:szCs w:val="32"/>
        </w:rPr>
        <w:t>科目</w:t>
      </w:r>
      <w:r>
        <w:rPr>
          <w:rFonts w:ascii="黑体" w:hAnsi="黑体" w:eastAsia="黑体" w:cs="Times New Roman"/>
          <w:bCs/>
          <w:sz w:val="32"/>
          <w:szCs w:val="32"/>
        </w:rPr>
        <w:t>的新旧衔接</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（一）“财政拨款结转”和“财政拨款结余”科目及对应的“资金结存”科目余额</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新制度设置了“财政拨款结转”、“财政拨款结余”科目及对应的“资金结存”科目。在新旧制度转换时，高等学校应当对原账的“财政补助结转”</w:t>
      </w:r>
      <w:r>
        <w:rPr>
          <w:rFonts w:hint="eastAsia" w:ascii="Times New Roman" w:hAnsi="Times New Roman" w:eastAsia="仿宋_GB2312" w:cs="Times New Roman"/>
          <w:sz w:val="32"/>
          <w:szCs w:val="32"/>
        </w:rPr>
        <w:t>科目及对应</w:t>
      </w:r>
      <w:r>
        <w:rPr>
          <w:rFonts w:ascii="Times New Roman" w:hAnsi="Times New Roman" w:eastAsia="仿宋_GB2312" w:cs="Times New Roman"/>
          <w:sz w:val="32"/>
          <w:szCs w:val="32"/>
        </w:rPr>
        <w:t>科目余额进行逐项分析，加上已经</w:t>
      </w:r>
      <w:r>
        <w:rPr>
          <w:rFonts w:hint="eastAsia" w:ascii="Times New Roman" w:hAnsi="Times New Roman" w:eastAsia="仿宋_GB2312" w:cs="Times New Roman"/>
          <w:sz w:val="32"/>
          <w:szCs w:val="32"/>
        </w:rPr>
        <w:t>计</w:t>
      </w:r>
      <w:r>
        <w:rPr>
          <w:rFonts w:ascii="Times New Roman" w:hAnsi="Times New Roman" w:eastAsia="仿宋_GB2312" w:cs="Times New Roman"/>
          <w:sz w:val="32"/>
          <w:szCs w:val="32"/>
        </w:rPr>
        <w:t>入支出尚未支付财政资金（如发生时列支的</w:t>
      </w:r>
      <w:r>
        <w:rPr>
          <w:rFonts w:hint="eastAsia" w:ascii="Times New Roman" w:hAnsi="Times New Roman" w:eastAsia="仿宋_GB2312" w:cs="Times New Roman"/>
          <w:sz w:val="32"/>
          <w:szCs w:val="32"/>
        </w:rPr>
        <w:t>应付票据、</w:t>
      </w:r>
      <w:r>
        <w:rPr>
          <w:rFonts w:ascii="Times New Roman" w:hAnsi="Times New Roman" w:eastAsia="仿宋_GB2312" w:cs="Times New Roman"/>
          <w:sz w:val="32"/>
          <w:szCs w:val="32"/>
        </w:rPr>
        <w:t>应付账款</w:t>
      </w:r>
      <w:r>
        <w:rPr>
          <w:rFonts w:hint="eastAsia" w:ascii="Times New Roman" w:hAnsi="Times New Roman" w:eastAsia="仿宋_GB2312" w:cs="Times New Roman"/>
          <w:sz w:val="32"/>
          <w:szCs w:val="32"/>
        </w:rPr>
        <w:t>、应缴税费、应付职工薪酬等</w:t>
      </w:r>
      <w:r>
        <w:rPr>
          <w:rFonts w:ascii="Times New Roman" w:hAnsi="Times New Roman" w:eastAsia="仿宋_GB2312" w:cs="Times New Roman"/>
          <w:sz w:val="32"/>
          <w:szCs w:val="32"/>
        </w:rPr>
        <w:t>）的金额，减去已经支付财政资金尚未</w:t>
      </w:r>
      <w:r>
        <w:rPr>
          <w:rFonts w:hint="eastAsia" w:ascii="Times New Roman" w:hAnsi="Times New Roman" w:eastAsia="仿宋_GB2312" w:cs="Times New Roman"/>
          <w:sz w:val="32"/>
          <w:szCs w:val="32"/>
        </w:rPr>
        <w:t>计</w:t>
      </w:r>
      <w:r>
        <w:rPr>
          <w:rFonts w:ascii="Times New Roman" w:hAnsi="Times New Roman" w:eastAsia="仿宋_GB2312" w:cs="Times New Roman"/>
          <w:sz w:val="32"/>
          <w:szCs w:val="32"/>
        </w:rPr>
        <w:t>入支出（如购入的存货、预付账款</w:t>
      </w:r>
      <w:r>
        <w:rPr>
          <w:rFonts w:hint="eastAsia" w:ascii="Times New Roman" w:hAnsi="Times New Roman" w:eastAsia="仿宋_GB2312" w:cs="Times New Roman"/>
          <w:sz w:val="32"/>
          <w:szCs w:val="32"/>
        </w:rPr>
        <w:t>、其他应收款</w:t>
      </w:r>
      <w:r>
        <w:rPr>
          <w:rFonts w:ascii="Times New Roman" w:hAnsi="Times New Roman" w:eastAsia="仿宋_GB2312" w:cs="Times New Roman"/>
          <w:sz w:val="32"/>
          <w:szCs w:val="32"/>
        </w:rPr>
        <w:t>等）的金额，按照增减后的金额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登记新账的“财政拨款结转”科目及其明细科目贷方；按照原账“财政补助结余”科目余额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登记新账的“财政拨款结余”科目及其明细科目贷方。</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按照原账“财政应返还额度”科目余额登记新账</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财政应返还额度”科目借方。按照新账</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“财政拨款结转”和“财政拨款结余”科目贷方余额</w:t>
      </w:r>
      <w:r>
        <w:rPr>
          <w:rFonts w:hint="eastAsia" w:ascii="Times New Roman" w:hAnsi="Times New Roman" w:eastAsia="仿宋_GB2312" w:cs="Times New Roman"/>
          <w:sz w:val="32"/>
          <w:szCs w:val="32"/>
        </w:rPr>
        <w:t>合计数，</w:t>
      </w:r>
      <w:r>
        <w:rPr>
          <w:rFonts w:ascii="Times New Roman" w:hAnsi="Times New Roman" w:eastAsia="仿宋_GB2312" w:cs="Times New Roman"/>
          <w:sz w:val="32"/>
          <w:szCs w:val="32"/>
        </w:rPr>
        <w:t>减去新账</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财政应返还额度”科目借方余额后的差额，登记新账</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货币资金”科目借方。</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（二）“非财政拨款结转”科目及对应的“资金结存”科目余额</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新制度设置了“非财政拨款结转”科目及对应的“资金结存”科目。在新旧制度转换时，高等学校应当对原账的“非财政补助结转”</w:t>
      </w:r>
      <w:r>
        <w:rPr>
          <w:rFonts w:hint="eastAsia" w:ascii="Times New Roman" w:hAnsi="Times New Roman" w:eastAsia="仿宋_GB2312" w:cs="Times New Roman"/>
          <w:sz w:val="32"/>
          <w:szCs w:val="32"/>
        </w:rPr>
        <w:t>及对应</w:t>
      </w:r>
      <w:r>
        <w:rPr>
          <w:rFonts w:ascii="Times New Roman" w:hAnsi="Times New Roman" w:eastAsia="仿宋_GB2312" w:cs="Times New Roman"/>
          <w:sz w:val="32"/>
          <w:szCs w:val="32"/>
        </w:rPr>
        <w:t>科目余额进行逐项分析，加上已经</w:t>
      </w:r>
      <w:r>
        <w:rPr>
          <w:rFonts w:hint="eastAsia" w:ascii="Times New Roman" w:hAnsi="Times New Roman" w:eastAsia="仿宋_GB2312" w:cs="Times New Roman"/>
          <w:sz w:val="32"/>
          <w:szCs w:val="32"/>
        </w:rPr>
        <w:t>计</w:t>
      </w:r>
      <w:r>
        <w:rPr>
          <w:rFonts w:ascii="Times New Roman" w:hAnsi="Times New Roman" w:eastAsia="仿宋_GB2312" w:cs="Times New Roman"/>
          <w:sz w:val="32"/>
          <w:szCs w:val="32"/>
        </w:rPr>
        <w:t>入支出尚未支付非财政补助专项资金（如发生时列支的</w:t>
      </w:r>
      <w:r>
        <w:rPr>
          <w:rFonts w:hint="eastAsia" w:ascii="Times New Roman" w:hAnsi="Times New Roman" w:eastAsia="仿宋_GB2312" w:cs="Times New Roman"/>
          <w:sz w:val="32"/>
          <w:szCs w:val="32"/>
        </w:rPr>
        <w:t>应付票据、</w:t>
      </w:r>
      <w:r>
        <w:rPr>
          <w:rFonts w:ascii="Times New Roman" w:hAnsi="Times New Roman" w:eastAsia="仿宋_GB2312" w:cs="Times New Roman"/>
          <w:sz w:val="32"/>
          <w:szCs w:val="32"/>
        </w:rPr>
        <w:t>应付账款</w:t>
      </w:r>
      <w:r>
        <w:rPr>
          <w:rFonts w:hint="eastAsia" w:ascii="Times New Roman" w:hAnsi="Times New Roman" w:eastAsia="仿宋_GB2312" w:cs="Times New Roman"/>
          <w:sz w:val="32"/>
          <w:szCs w:val="32"/>
        </w:rPr>
        <w:t>、应缴税费、应付职工薪酬等</w:t>
      </w:r>
      <w:r>
        <w:rPr>
          <w:rFonts w:ascii="Times New Roman" w:hAnsi="Times New Roman" w:eastAsia="仿宋_GB2312" w:cs="Times New Roman"/>
          <w:sz w:val="32"/>
          <w:szCs w:val="32"/>
        </w:rPr>
        <w:t>）的金额，减去已经支付非财政补助专项资金尚未</w:t>
      </w:r>
      <w:r>
        <w:rPr>
          <w:rFonts w:hint="eastAsia" w:ascii="Times New Roman" w:hAnsi="Times New Roman" w:eastAsia="仿宋_GB2312" w:cs="Times New Roman"/>
          <w:sz w:val="32"/>
          <w:szCs w:val="32"/>
        </w:rPr>
        <w:t>计</w:t>
      </w:r>
      <w:r>
        <w:rPr>
          <w:rFonts w:ascii="Times New Roman" w:hAnsi="Times New Roman" w:eastAsia="仿宋_GB2312" w:cs="Times New Roman"/>
          <w:sz w:val="32"/>
          <w:szCs w:val="32"/>
        </w:rPr>
        <w:t>入支出（如购入的存货、预付账款等）的金额，加上已经收到非财政补助专项资金尚未</w:t>
      </w:r>
      <w:r>
        <w:rPr>
          <w:rFonts w:hint="eastAsia" w:ascii="Times New Roman" w:hAnsi="Times New Roman" w:eastAsia="仿宋_GB2312" w:cs="Times New Roman"/>
          <w:sz w:val="32"/>
          <w:szCs w:val="32"/>
        </w:rPr>
        <w:t>计</w:t>
      </w:r>
      <w:r>
        <w:rPr>
          <w:rFonts w:ascii="Times New Roman" w:hAnsi="Times New Roman" w:eastAsia="仿宋_GB2312" w:cs="Times New Roman"/>
          <w:sz w:val="32"/>
          <w:szCs w:val="32"/>
        </w:rPr>
        <w:t>入</w:t>
      </w:r>
      <w:r>
        <w:rPr>
          <w:rFonts w:hint="eastAsia" w:ascii="Times New Roman" w:hAnsi="Times New Roman" w:eastAsia="仿宋_GB2312" w:cs="Times New Roman"/>
          <w:sz w:val="32"/>
          <w:szCs w:val="32"/>
        </w:rPr>
        <w:t>预算</w:t>
      </w:r>
      <w:r>
        <w:rPr>
          <w:rFonts w:ascii="Times New Roman" w:hAnsi="Times New Roman" w:eastAsia="仿宋_GB2312" w:cs="Times New Roman"/>
          <w:sz w:val="32"/>
          <w:szCs w:val="32"/>
        </w:rPr>
        <w:t>收入（如预收账款</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）的金额，减去已经</w:t>
      </w:r>
      <w:r>
        <w:rPr>
          <w:rFonts w:hint="eastAsia" w:ascii="Times New Roman" w:hAnsi="Times New Roman" w:eastAsia="仿宋_GB2312" w:cs="Times New Roman"/>
          <w:sz w:val="32"/>
          <w:szCs w:val="32"/>
        </w:rPr>
        <w:t>计</w:t>
      </w:r>
      <w:r>
        <w:rPr>
          <w:rFonts w:ascii="Times New Roman" w:hAnsi="Times New Roman" w:eastAsia="仿宋_GB2312" w:cs="Times New Roman"/>
          <w:sz w:val="32"/>
          <w:szCs w:val="32"/>
        </w:rPr>
        <w:t>入</w:t>
      </w:r>
      <w:r>
        <w:rPr>
          <w:rFonts w:hint="eastAsia" w:ascii="Times New Roman" w:hAnsi="Times New Roman" w:eastAsia="仿宋_GB2312" w:cs="Times New Roman"/>
          <w:sz w:val="32"/>
          <w:szCs w:val="32"/>
        </w:rPr>
        <w:t>预算</w:t>
      </w:r>
      <w:r>
        <w:rPr>
          <w:rFonts w:ascii="Times New Roman" w:hAnsi="Times New Roman" w:eastAsia="仿宋_GB2312" w:cs="Times New Roman"/>
          <w:sz w:val="32"/>
          <w:szCs w:val="32"/>
        </w:rPr>
        <w:t>收入尚未收到非财政补助专项资金（如</w:t>
      </w:r>
      <w:r>
        <w:rPr>
          <w:rFonts w:hint="eastAsia" w:ascii="Times New Roman" w:hAnsi="Times New Roman" w:eastAsia="仿宋_GB2312" w:cs="Times New Roman"/>
          <w:sz w:val="32"/>
          <w:szCs w:val="32"/>
        </w:rPr>
        <w:t>应收票据、</w:t>
      </w:r>
      <w:r>
        <w:rPr>
          <w:rFonts w:ascii="Times New Roman" w:hAnsi="Times New Roman" w:eastAsia="仿宋_GB2312" w:cs="Times New Roman"/>
          <w:sz w:val="32"/>
          <w:szCs w:val="32"/>
        </w:rPr>
        <w:t>应收账款</w:t>
      </w:r>
      <w:r>
        <w:rPr>
          <w:rFonts w:hint="eastAsia" w:ascii="Times New Roman" w:hAnsi="Times New Roman" w:eastAsia="仿宋_GB2312" w:cs="Times New Roman"/>
          <w:sz w:val="32"/>
          <w:szCs w:val="32"/>
        </w:rPr>
        <w:t>、其他应收款等</w:t>
      </w:r>
      <w:r>
        <w:rPr>
          <w:rFonts w:ascii="Times New Roman" w:hAnsi="Times New Roman" w:eastAsia="仿宋_GB2312" w:cs="Times New Roman"/>
          <w:sz w:val="32"/>
          <w:szCs w:val="32"/>
        </w:rPr>
        <w:t>）的金额，按照增减后的金额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登记新账的“非财政拨款结转”科目及其明细科目贷方；同时，按照相同的金额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登记新账“资金结存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货币资金”科目的借方。</w:t>
      </w:r>
    </w:p>
    <w:p>
      <w:pPr>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）“专用结余”科目及对应的“资金结存”科目余额</w:t>
      </w:r>
    </w:p>
    <w:p>
      <w:pPr>
        <w:ind w:firstLine="564"/>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新制度设置了“专用</w:t>
      </w:r>
      <w:r>
        <w:rPr>
          <w:rFonts w:hint="eastAsia" w:ascii="Times New Roman" w:hAnsi="Times New Roman" w:eastAsia="仿宋_GB2312" w:cs="Times New Roman"/>
          <w:sz w:val="32"/>
          <w:szCs w:val="32"/>
        </w:rPr>
        <w:t>结余</w:t>
      </w:r>
      <w:r>
        <w:rPr>
          <w:rFonts w:ascii="Times New Roman" w:hAnsi="Times New Roman" w:eastAsia="仿宋_GB2312" w:cs="Times New Roman"/>
          <w:sz w:val="32"/>
          <w:szCs w:val="32"/>
        </w:rPr>
        <w:t>”科目及对应的“资金结存”科目。在新旧制度转换时，高等学校应当按照原账“专用基金”科目余额中通过非财政补助结余分配形成的金额，借记新账的“资金结存——货币资金”科目，贷记新账的“专用结余”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）“经营结余”</w:t>
      </w:r>
      <w:r>
        <w:rPr>
          <w:rFonts w:hint="eastAsia" w:ascii="Times New Roman" w:hAnsi="Times New Roman" w:eastAsia="仿宋_GB2312" w:cs="Times New Roman"/>
          <w:sz w:val="32"/>
          <w:szCs w:val="32"/>
        </w:rPr>
        <w:t>科目及对应的“资金结存”</w:t>
      </w:r>
      <w:r>
        <w:rPr>
          <w:rFonts w:ascii="Times New Roman" w:hAnsi="Times New Roman" w:eastAsia="仿宋_GB2312" w:cs="Times New Roman"/>
          <w:sz w:val="32"/>
          <w:szCs w:val="32"/>
        </w:rPr>
        <w:t>科目</w:t>
      </w:r>
      <w:r>
        <w:rPr>
          <w:rFonts w:hint="eastAsia" w:ascii="Times New Roman" w:hAnsi="Times New Roman" w:eastAsia="仿宋_GB2312" w:cs="Times New Roman"/>
          <w:sz w:val="32"/>
          <w:szCs w:val="32"/>
        </w:rPr>
        <w:t>余额</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新制度设置了“经营结余”科目。如果原账的“经营结余”</w:t>
      </w:r>
      <w:r>
        <w:rPr>
          <w:rFonts w:ascii="Times New Roman" w:hAnsi="Times New Roman" w:eastAsia="仿宋_GB2312" w:cs="Times New Roman"/>
          <w:kern w:val="0"/>
          <w:sz w:val="32"/>
          <w:szCs w:val="32"/>
        </w:rPr>
        <w:t>科目期末有借方余额，</w:t>
      </w:r>
      <w:r>
        <w:rPr>
          <w:rFonts w:ascii="Times New Roman" w:hAnsi="Times New Roman" w:eastAsia="仿宋_GB2312" w:cs="Times New Roman"/>
          <w:sz w:val="32"/>
          <w:szCs w:val="32"/>
        </w:rPr>
        <w:t>在新旧制度转换时</w:t>
      </w:r>
      <w:r>
        <w:rPr>
          <w:rFonts w:ascii="Times New Roman" w:hAnsi="Times New Roman" w:eastAsia="仿宋_GB2312" w:cs="Times New Roman"/>
          <w:kern w:val="0"/>
          <w:sz w:val="32"/>
          <w:szCs w:val="32"/>
        </w:rPr>
        <w:t>，按照</w:t>
      </w:r>
      <w:r>
        <w:rPr>
          <w:rFonts w:ascii="Times New Roman" w:hAnsi="Times New Roman" w:eastAsia="仿宋_GB2312" w:cs="Times New Roman"/>
          <w:sz w:val="32"/>
          <w:szCs w:val="32"/>
        </w:rPr>
        <w:t>原账的“经营结余”</w:t>
      </w:r>
      <w:r>
        <w:rPr>
          <w:rFonts w:ascii="Times New Roman" w:hAnsi="Times New Roman" w:eastAsia="仿宋_GB2312" w:cs="Times New Roman"/>
          <w:kern w:val="0"/>
          <w:sz w:val="32"/>
          <w:szCs w:val="32"/>
        </w:rPr>
        <w:t>科目余额</w:t>
      </w:r>
      <w:r>
        <w:rPr>
          <w:rFonts w:hint="eastAsia" w:ascii="Times New Roman" w:hAnsi="Times New Roman" w:eastAsia="仿宋_GB2312" w:cs="Times New Roman"/>
          <w:kern w:val="0"/>
          <w:sz w:val="32"/>
          <w:szCs w:val="32"/>
        </w:rPr>
        <w:t>，</w:t>
      </w:r>
      <w:r>
        <w:rPr>
          <w:rFonts w:ascii="Times New Roman" w:hAnsi="Times New Roman" w:eastAsia="仿宋_GB2312" w:cs="Times New Roman"/>
          <w:sz w:val="32"/>
          <w:szCs w:val="32"/>
        </w:rPr>
        <w:t>借记新账的“经营结余”科目，贷记新账的“资金结存</w:t>
      </w:r>
      <w:r>
        <w:rPr>
          <w:rFonts w:hint="eastAsia" w:ascii="Times New Roman" w:hAnsi="Times New Roman" w:eastAsia="仿宋_GB2312" w:cs="Times New Roman"/>
          <w:sz w:val="32"/>
          <w:szCs w:val="32"/>
        </w:rPr>
        <w:t>——货币资金</w:t>
      </w:r>
      <w:r>
        <w:rPr>
          <w:rFonts w:ascii="Times New Roman" w:hAnsi="Times New Roman" w:eastAsia="仿宋_GB2312" w:cs="Times New Roman"/>
          <w:sz w:val="32"/>
          <w:szCs w:val="32"/>
        </w:rPr>
        <w:t>”科目。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）“非财政拨款结余”科目及对应的“资金结存”科目余额</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1.登记“非财政拨款结余”科目余额</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新制度设置了“非财政拨款结余”科目及对应的“资金结存”科目</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在新旧制度转换时</w:t>
      </w:r>
      <w:r>
        <w:rPr>
          <w:rFonts w:ascii="Times New Roman" w:hAnsi="Times New Roman" w:eastAsia="仿宋_GB2312" w:cs="Times New Roman"/>
          <w:kern w:val="0"/>
          <w:sz w:val="32"/>
          <w:szCs w:val="32"/>
        </w:rPr>
        <w:t>，高等学校应当按照原账</w:t>
      </w:r>
      <w:r>
        <w:rPr>
          <w:rFonts w:ascii="Times New Roman" w:hAnsi="Times New Roman" w:eastAsia="仿宋_GB2312" w:cs="Times New Roman"/>
          <w:sz w:val="32"/>
          <w:szCs w:val="32"/>
        </w:rPr>
        <w:t>的“事业基金”科目余额，借记新账的“资金结存——货币资金”科目，贷记新账的“非财政拨款结余”科目。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2. 对新账“非财政拨款结余”科目及“资金结存”科目余额进行调整</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（1）调整短期投资对非财政拨款结余的影响</w:t>
      </w:r>
    </w:p>
    <w:p>
      <w:pPr>
        <w:ind w:firstLine="704" w:firstLineChars="22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高等学校应当</w:t>
      </w:r>
      <w:r>
        <w:rPr>
          <w:rFonts w:ascii="Times New Roman" w:hAnsi="Times New Roman" w:eastAsia="仿宋_GB2312" w:cs="Times New Roman"/>
          <w:sz w:val="32"/>
          <w:szCs w:val="32"/>
        </w:rPr>
        <w:t>按照原账的“短期投资”科目余额，借记“非财政拨款结余”科目，贷记“资金结存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（2）调整应收票据、应收账款对非财政拨款结余的影响</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对原账的“应收票据”、“应收账款”科目余额进行分析，区分计入专项资金收入的金额和计入非专项资金收入的金额，按照计入非专项资金收入的金额借记“非财政拨款结余”科目，贷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（3）调整预付账款对非财政拨款结余的影响</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高等学校应当对原账的“预付账款”科目余额进行分析，区分其中由财政补助资金预付的金额、非财政补助专项资金预付的金额</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非财政补助非专项资金预付的金额，按照非财政补助非专项资金预付的金额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借记“非财政拨款结余”科目，贷记“资金结存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（4）调整其他应收款对非财政拨款结余的影响</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等学校按照新制度规定将原账其他应收款中的预付款项计入支出的，应当对原账的“其他应收款”科目余额进行分析，区分其中预付款项的金额（将来很可能列支）和非预付款项的金额，并对预付款项的金额划分为财政补助资金预付的金额、非财政补助专项资金预付的金额和非财政补助非专项资金预付的金额，按照非财政补助非专项资金预付的金额，借记 “非财政拨款结余”科目，贷记“资金结存——货币资金”科目。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（5）调整存货对非财政拨款结余的影响</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对原账的“存货”科目余额进行分析，区分购入的存货金额和非购入的存货金额。对购入的存货金额划分出其中使用财政补助资金购入的金额、使用非财政补助专项资金购入的金额和使用非财政补助非专项资金购入的金额，按照使用非财政补助非专项资金购入的金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借记“非财政拨款结余”科目，贷记“资金结存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（6）调整长期股权投资对非财政拨款结余的影响</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高等学校应当对原账的“长期投资”科目余额中属于股权投资的余额（不含对非企业法人投资）进行分析，区分其中用现金资产取得的金额和用非现金资产及其他方式取得的金额，按照用现金资产取得的金额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借记 “非财政拨款结余”科目，贷记“资金结存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w:t>
      </w:r>
    </w:p>
    <w:p>
      <w:pPr>
        <w:ind w:firstLine="566" w:firstLineChars="177"/>
        <w:rPr>
          <w:rFonts w:ascii="Times New Roman" w:hAnsi="Times New Roman" w:eastAsia="仿宋_GB2312" w:cs="Times New Roman"/>
          <w:sz w:val="32"/>
          <w:szCs w:val="32"/>
        </w:rPr>
      </w:pPr>
      <w:r>
        <w:rPr>
          <w:rFonts w:ascii="Times New Roman" w:hAnsi="Times New Roman" w:eastAsia="仿宋_GB2312" w:cs="Times New Roman"/>
          <w:sz w:val="32"/>
          <w:szCs w:val="32"/>
        </w:rPr>
        <w:t>按照原制度核算长期投资、而且对应</w:t>
      </w:r>
      <w:r>
        <w:rPr>
          <w:rFonts w:hint="eastAsia" w:ascii="Times New Roman" w:hAnsi="Times New Roman" w:eastAsia="仿宋_GB2312" w:cs="Times New Roman"/>
          <w:sz w:val="32"/>
          <w:szCs w:val="32"/>
        </w:rPr>
        <w:t>科目为</w:t>
      </w:r>
      <w:r>
        <w:rPr>
          <w:rFonts w:ascii="Times New Roman" w:hAnsi="Times New Roman" w:eastAsia="仿宋_GB2312" w:cs="Times New Roman"/>
          <w:sz w:val="32"/>
          <w:szCs w:val="32"/>
        </w:rPr>
        <w:t>“非流动资产基金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长期投资”的，不作此项调整。</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（7）调整长期债券投资对非财政拨款结余的影响</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高等学校应当按照原账的“长期投资”科目余额中属于债券投资的余额，借记 “非财政拨款结余”科目，贷记“资金结存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w:t>
      </w:r>
    </w:p>
    <w:p>
      <w:pPr>
        <w:ind w:firstLine="566" w:firstLineChars="177"/>
        <w:rPr>
          <w:rFonts w:ascii="Times New Roman" w:hAnsi="Times New Roman" w:eastAsia="仿宋_GB2312" w:cs="Times New Roman"/>
          <w:sz w:val="32"/>
          <w:szCs w:val="32"/>
        </w:rPr>
      </w:pPr>
      <w:r>
        <w:rPr>
          <w:rFonts w:ascii="Times New Roman" w:hAnsi="Times New Roman" w:eastAsia="仿宋_GB2312" w:cs="Times New Roman"/>
          <w:sz w:val="32"/>
          <w:szCs w:val="32"/>
        </w:rPr>
        <w:t>按照原制度核算长期投资、而且对应</w:t>
      </w:r>
      <w:r>
        <w:rPr>
          <w:rFonts w:hint="eastAsia" w:ascii="Times New Roman" w:hAnsi="Times New Roman" w:eastAsia="仿宋_GB2312" w:cs="Times New Roman"/>
          <w:sz w:val="32"/>
          <w:szCs w:val="32"/>
        </w:rPr>
        <w:t>科目为</w:t>
      </w:r>
      <w:r>
        <w:rPr>
          <w:rFonts w:ascii="Times New Roman" w:hAnsi="Times New Roman" w:eastAsia="仿宋_GB2312" w:cs="Times New Roman"/>
          <w:sz w:val="32"/>
          <w:szCs w:val="32"/>
        </w:rPr>
        <w:t>“非流动资产基金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长期投资”的，不作此项调整。</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（8）调整短期借款、长期借款对非财政拨款结余的影响</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高等学校应当按照原账的“短期借款”、“长期借款”科目余额，借记“资金结存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货币资金”科目，贷记“非财政拨款结余”科目。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（9）调整应付票据、应付账款对非财政拨款结余的影响</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高等学校应当对原账的“应付票据”、“应付账款”科目余额进行分析，区分财政</w:t>
      </w:r>
      <w:r>
        <w:rPr>
          <w:rFonts w:hint="eastAsia" w:ascii="Times New Roman" w:hAnsi="Times New Roman" w:eastAsia="仿宋_GB2312" w:cs="Times New Roman"/>
          <w:sz w:val="32"/>
          <w:szCs w:val="32"/>
        </w:rPr>
        <w:t>补助</w:t>
      </w:r>
      <w:r>
        <w:rPr>
          <w:rFonts w:ascii="Times New Roman" w:hAnsi="Times New Roman" w:eastAsia="仿宋_GB2312" w:cs="Times New Roman"/>
          <w:sz w:val="32"/>
          <w:szCs w:val="32"/>
        </w:rPr>
        <w:t>应付的金额、非财政</w:t>
      </w:r>
      <w:r>
        <w:rPr>
          <w:rFonts w:hint="eastAsia" w:ascii="Times New Roman" w:hAnsi="Times New Roman" w:eastAsia="仿宋_GB2312" w:cs="Times New Roman"/>
          <w:sz w:val="32"/>
          <w:szCs w:val="32"/>
        </w:rPr>
        <w:t>补助</w:t>
      </w:r>
      <w:r>
        <w:rPr>
          <w:rFonts w:ascii="Times New Roman" w:hAnsi="Times New Roman" w:eastAsia="仿宋_GB2312" w:cs="Times New Roman"/>
          <w:sz w:val="32"/>
          <w:szCs w:val="32"/>
        </w:rPr>
        <w:t>专项资金应付的金额和非财政</w:t>
      </w:r>
      <w:r>
        <w:rPr>
          <w:rFonts w:hint="eastAsia" w:ascii="Times New Roman" w:hAnsi="Times New Roman" w:eastAsia="仿宋_GB2312" w:cs="Times New Roman"/>
          <w:sz w:val="32"/>
          <w:szCs w:val="32"/>
        </w:rPr>
        <w:t>补助</w:t>
      </w:r>
      <w:r>
        <w:rPr>
          <w:rFonts w:ascii="Times New Roman" w:hAnsi="Times New Roman" w:eastAsia="仿宋_GB2312" w:cs="Times New Roman"/>
          <w:sz w:val="32"/>
          <w:szCs w:val="32"/>
        </w:rPr>
        <w:t>非专项资金应付的金额，按照非财政</w:t>
      </w:r>
      <w:r>
        <w:rPr>
          <w:rFonts w:hint="eastAsia" w:ascii="Times New Roman" w:hAnsi="Times New Roman" w:eastAsia="仿宋_GB2312" w:cs="Times New Roman"/>
          <w:sz w:val="32"/>
          <w:szCs w:val="32"/>
        </w:rPr>
        <w:t>补助</w:t>
      </w:r>
      <w:r>
        <w:rPr>
          <w:rFonts w:ascii="Times New Roman" w:hAnsi="Times New Roman" w:eastAsia="仿宋_GB2312" w:cs="Times New Roman"/>
          <w:sz w:val="32"/>
          <w:szCs w:val="32"/>
        </w:rPr>
        <w:t>非专项资金应付的金额借记“资金结存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货币资金”科目，贷记“非财政拨款结余”科目。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（10）调整应</w:t>
      </w:r>
      <w:r>
        <w:rPr>
          <w:rFonts w:hint="eastAsia" w:ascii="Times New Roman" w:hAnsi="Times New Roman" w:eastAsia="仿宋_GB2312" w:cs="Times New Roman"/>
          <w:sz w:val="32"/>
          <w:szCs w:val="32"/>
        </w:rPr>
        <w:t>缴</w:t>
      </w:r>
      <w:r>
        <w:rPr>
          <w:rFonts w:ascii="Times New Roman" w:hAnsi="Times New Roman" w:eastAsia="仿宋_GB2312" w:cs="Times New Roman"/>
          <w:sz w:val="32"/>
          <w:szCs w:val="32"/>
        </w:rPr>
        <w:t>增值税对非财政拨款结余的影响</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高等学校应当对原账“应缴税费</w:t>
      </w:r>
      <w:r>
        <w:rPr>
          <w:rFonts w:hint="eastAsia" w:ascii="Times New Roman" w:hAnsi="Times New Roman" w:eastAsia="仿宋_GB2312" w:cs="Times New Roman"/>
          <w:sz w:val="32"/>
          <w:szCs w:val="32"/>
        </w:rPr>
        <w:t>——应缴增值税</w:t>
      </w:r>
      <w:r>
        <w:rPr>
          <w:rFonts w:ascii="Times New Roman" w:hAnsi="Times New Roman" w:eastAsia="仿宋_GB2312" w:cs="Times New Roman"/>
          <w:sz w:val="32"/>
          <w:szCs w:val="32"/>
        </w:rPr>
        <w:t>”科目余额进行分析，划分出与非财政补助专项资金相关的金额和与非财政补助非专项资金相关的金额。按照与非财政补助非专项资金相关的金额，计算应调整非财政拨款结余的金额</w:t>
      </w:r>
      <w:r>
        <w:rPr>
          <w:rFonts w:hint="eastAsia" w:ascii="Times New Roman" w:hAnsi="Times New Roman" w:eastAsia="仿宋_GB2312" w:cs="Times New Roman"/>
          <w:sz w:val="32"/>
          <w:szCs w:val="32"/>
        </w:rPr>
        <w:t>。</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应调整金额如为正数，按照该金额借记“资金结存——货币资金”科目，贷记“非财政</w:t>
      </w:r>
      <w:r>
        <w:rPr>
          <w:rFonts w:hint="eastAsia" w:ascii="Times New Roman" w:hAnsi="Times New Roman" w:eastAsia="仿宋_GB2312" w:cs="Times New Roman"/>
          <w:sz w:val="32"/>
          <w:szCs w:val="32"/>
        </w:rPr>
        <w:t>拨款</w:t>
      </w:r>
      <w:r>
        <w:rPr>
          <w:rFonts w:ascii="Times New Roman" w:hAnsi="Times New Roman" w:eastAsia="仿宋_GB2312" w:cs="Times New Roman"/>
          <w:sz w:val="32"/>
          <w:szCs w:val="32"/>
        </w:rPr>
        <w:t>结余”科目；如为负数，按照该金额借记“非财政</w:t>
      </w:r>
      <w:r>
        <w:rPr>
          <w:rFonts w:hint="eastAsia" w:ascii="Times New Roman" w:hAnsi="Times New Roman" w:eastAsia="仿宋_GB2312" w:cs="Times New Roman"/>
          <w:sz w:val="32"/>
          <w:szCs w:val="32"/>
        </w:rPr>
        <w:t>拨款</w:t>
      </w:r>
      <w:r>
        <w:rPr>
          <w:rFonts w:ascii="Times New Roman" w:hAnsi="Times New Roman" w:eastAsia="仿宋_GB2312" w:cs="Times New Roman"/>
          <w:sz w:val="32"/>
          <w:szCs w:val="32"/>
        </w:rPr>
        <w:t>结余”科目，贷记“资金结存——货币资金”科目。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（11）调整其他应</w:t>
      </w:r>
      <w:r>
        <w:rPr>
          <w:rFonts w:hint="eastAsia" w:ascii="Times New Roman" w:hAnsi="Times New Roman" w:eastAsia="仿宋_GB2312" w:cs="Times New Roman"/>
          <w:sz w:val="32"/>
          <w:szCs w:val="32"/>
        </w:rPr>
        <w:t>缴</w:t>
      </w:r>
      <w:r>
        <w:rPr>
          <w:rFonts w:ascii="Times New Roman" w:hAnsi="Times New Roman" w:eastAsia="仿宋_GB2312" w:cs="Times New Roman"/>
          <w:sz w:val="32"/>
          <w:szCs w:val="32"/>
        </w:rPr>
        <w:t>税费对非财政拨款结余的影响</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高等学校应当对原账“应缴税费”</w:t>
      </w:r>
      <w:r>
        <w:rPr>
          <w:rFonts w:hint="eastAsia" w:ascii="Times New Roman" w:hAnsi="Times New Roman" w:eastAsia="仿宋_GB2312" w:cs="Times New Roman"/>
          <w:sz w:val="32"/>
          <w:szCs w:val="32"/>
        </w:rPr>
        <w:t>科目</w:t>
      </w:r>
      <w:r>
        <w:rPr>
          <w:rFonts w:ascii="Times New Roman" w:hAnsi="Times New Roman" w:eastAsia="仿宋_GB2312" w:cs="Times New Roman"/>
          <w:sz w:val="32"/>
          <w:szCs w:val="32"/>
        </w:rPr>
        <w:t>余额中非增值税的其他应</w:t>
      </w:r>
      <w:r>
        <w:rPr>
          <w:rFonts w:hint="eastAsia" w:ascii="Times New Roman" w:hAnsi="Times New Roman" w:eastAsia="仿宋_GB2312" w:cs="Times New Roman"/>
          <w:sz w:val="32"/>
          <w:szCs w:val="32"/>
        </w:rPr>
        <w:t>缴</w:t>
      </w:r>
      <w:r>
        <w:rPr>
          <w:rFonts w:ascii="Times New Roman" w:hAnsi="Times New Roman" w:eastAsia="仿宋_GB2312" w:cs="Times New Roman"/>
          <w:sz w:val="32"/>
          <w:szCs w:val="32"/>
        </w:rPr>
        <w:t xml:space="preserve">税费金额进行分析，划分出财政补助应交金额、非财政补助专项资金应交金额和非财政补助非专项资金应交金额，按照非财政补助非专项资金应交金额，借记“资金结存——货币资金”科目，贷记“非财政拨款结余”科目。    </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（12）调整预收账款对非财政拨款结余的影响</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高等学校应当按照原账的“预收账款”科目余额中预收</w:t>
      </w:r>
      <w:r>
        <w:rPr>
          <w:rFonts w:hint="eastAsia" w:ascii="Times New Roman" w:hAnsi="Times New Roman" w:eastAsia="仿宋_GB2312" w:cs="Times New Roman"/>
          <w:sz w:val="32"/>
          <w:szCs w:val="32"/>
        </w:rPr>
        <w:t>非财政</w:t>
      </w:r>
      <w:r>
        <w:rPr>
          <w:rFonts w:ascii="Times New Roman" w:hAnsi="Times New Roman" w:eastAsia="仿宋_GB2312" w:cs="Times New Roman"/>
          <w:sz w:val="32"/>
          <w:szCs w:val="32"/>
        </w:rPr>
        <w:t>非专项资金的金额，借记“资金结存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货币资金”科目，贷记“非财政拨款结余”科目。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（13）调整其他应付款对非财政拨款结余的影响</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高等学校应当对原账的“其他应付款”科目余额（扣除属于受托代理负债的金额）进行分析，区分其中支出类的金额（确认其他应付款时</w:t>
      </w:r>
      <w:r>
        <w:rPr>
          <w:rFonts w:hint="eastAsia" w:ascii="Times New Roman" w:hAnsi="Times New Roman" w:eastAsia="仿宋_GB2312" w:cs="Times New Roman"/>
          <w:sz w:val="32"/>
          <w:szCs w:val="32"/>
        </w:rPr>
        <w:t>计</w:t>
      </w:r>
      <w:r>
        <w:rPr>
          <w:rFonts w:ascii="Times New Roman" w:hAnsi="Times New Roman" w:eastAsia="仿宋_GB2312" w:cs="Times New Roman"/>
          <w:sz w:val="32"/>
          <w:szCs w:val="32"/>
        </w:rPr>
        <w:t>入了支出）</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周转类的金额（如收取的押金、保证金等），并对支出类的金额划分为财政补助资金列支的金额、非财政补助专项资金列支的金额和非财政补助非专项资金列支的金额，按照非财政补助非专项资金列支的金额，借记“资金结存——货币资金”科目，贷记 “非财政拨款结余”科目。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（14）调整专用基金对非财政拨款结余的影响</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高等学校应当对原账的“专用基金”科目余额进行分析，划分出按照收入比例列支提取的专用基金（如</w:t>
      </w:r>
      <w:r>
        <w:rPr>
          <w:rFonts w:hint="eastAsia" w:ascii="Times New Roman" w:hAnsi="Times New Roman" w:eastAsia="仿宋_GB2312" w:cs="Times New Roman"/>
          <w:sz w:val="32"/>
          <w:szCs w:val="32"/>
        </w:rPr>
        <w:t>列支提取的</w:t>
      </w:r>
      <w:r>
        <w:rPr>
          <w:rFonts w:ascii="Times New Roman" w:hAnsi="Times New Roman" w:eastAsia="仿宋_GB2312" w:cs="Times New Roman"/>
          <w:sz w:val="32"/>
          <w:szCs w:val="32"/>
        </w:rPr>
        <w:t>职工福利基金、列支提取的学生奖助基金</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），按照列支提取的专用基金的金额，借记“资金结存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货币资金”科目，贷记“非财政拨款结余”科目。</w:t>
      </w:r>
    </w:p>
    <w:p>
      <w:pPr>
        <w:ind w:firstLine="704" w:firstLineChars="22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高等学校按照前述1、2两个步骤难以准确调整出“非财政拨款结余”科目及对应的“资金结存”科目余额的，在新旧制度转换时，可以在新账的“库存现金”、“银行存款”、“其他货币资金”、“财政应返还额度”科目借方余额合计数基础上，对不纳入单位预算管理的资金进行调整(如减去新账中货币资金形式的受托代理资产、应缴财政款、已收取将来需要退回资金的其他应付款，加上已支付将来需要收回资金的其他应收款），按照调整后的金额减去新账的“财政拨款结转”、“财政拨款结余”、“非财政拨款结转”、“专用结余”科目贷方余额合计数，加上“经营结余”科目借方余额后的金额，登记新账的“非财政拨款结余”科目贷方；同时，按照相同的金额登记新账的“资金结存——货币资金”科目借方。</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（六）“其他结余”、“非财政拨款结余分配”科目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新制度设置了“其他结余”和“非财政拨款结余分配”科目。由于这两个科目年初无余额</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在新旧制度转换时</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无</w:t>
      </w:r>
      <w:r>
        <w:rPr>
          <w:rFonts w:ascii="Times New Roman" w:hAnsi="Times New Roman" w:eastAsia="仿宋_GB2312" w:cs="Times New Roman"/>
          <w:kern w:val="0"/>
          <w:sz w:val="32"/>
          <w:szCs w:val="32"/>
        </w:rPr>
        <w:t>需对</w:t>
      </w:r>
      <w:r>
        <w:rPr>
          <w:rFonts w:ascii="Times New Roman" w:hAnsi="Times New Roman" w:eastAsia="仿宋_GB2312" w:cs="Times New Roman"/>
          <w:sz w:val="32"/>
          <w:szCs w:val="32"/>
        </w:rPr>
        <w:t>“其他结余”和“非财政拨款结余分配”科目进行新账年初余额登记。</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（七）预算收入类、预算支出类会计科目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由于预算收入类、预算支出类会计科目年初无余额，在新旧制度转换时</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高等学校无</w:t>
      </w:r>
      <w:r>
        <w:rPr>
          <w:rFonts w:ascii="Times New Roman" w:hAnsi="Times New Roman" w:eastAsia="仿宋_GB2312" w:cs="Times New Roman"/>
          <w:kern w:val="0"/>
          <w:sz w:val="32"/>
          <w:szCs w:val="32"/>
        </w:rPr>
        <w:t>需对</w:t>
      </w:r>
      <w:r>
        <w:rPr>
          <w:rFonts w:ascii="Times New Roman" w:hAnsi="Times New Roman" w:eastAsia="仿宋_GB2312" w:cs="Times New Roman"/>
          <w:sz w:val="32"/>
          <w:szCs w:val="32"/>
        </w:rPr>
        <w:t>预算收入类、预算支出类会计科目进行新账年初余额登记。</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高等学校自2019年1月1日起，应当按照新制度设置预算收入类、预算支出类科目并进行账务处理。</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w:t>
      </w:r>
      <w:r>
        <w:rPr>
          <w:rFonts w:hint="eastAsia" w:ascii="Times New Roman" w:hAnsi="Times New Roman" w:eastAsia="仿宋_GB2312" w:cs="Times New Roman"/>
          <w:sz w:val="32"/>
          <w:szCs w:val="32"/>
        </w:rPr>
        <w:t>存在</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年12月31日需要按照新制度预算会计核算基础调整预算会计科目期初余额的其他事项</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，应当比照本规定调整新账的相应预算会计科目期初余额。</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高等学校对预算会计</w:t>
      </w:r>
      <w:r>
        <w:rPr>
          <w:rFonts w:hint="eastAsia" w:ascii="Times New Roman" w:hAnsi="Times New Roman" w:eastAsia="仿宋_GB2312" w:cs="Times New Roman"/>
          <w:sz w:val="32"/>
          <w:szCs w:val="32"/>
        </w:rPr>
        <w:t>科目</w:t>
      </w:r>
      <w:r>
        <w:rPr>
          <w:rFonts w:ascii="Times New Roman" w:hAnsi="Times New Roman" w:eastAsia="仿宋_GB2312" w:cs="Times New Roman"/>
          <w:sz w:val="32"/>
          <w:szCs w:val="32"/>
        </w:rPr>
        <w:t>期初余额登记和调整，应当编制记账凭证，并将期初余额登记和调整的依据</w:t>
      </w:r>
      <w:r>
        <w:rPr>
          <w:rFonts w:hint="eastAsia" w:ascii="Times New Roman" w:hAnsi="Times New Roman" w:eastAsia="仿宋_GB2312" w:cs="Times New Roman"/>
          <w:sz w:val="32"/>
          <w:szCs w:val="32"/>
        </w:rPr>
        <w:t>作为</w:t>
      </w:r>
      <w:r>
        <w:rPr>
          <w:rFonts w:ascii="Times New Roman" w:hAnsi="Times New Roman" w:eastAsia="仿宋_GB2312" w:cs="Times New Roman"/>
          <w:sz w:val="32"/>
          <w:szCs w:val="32"/>
        </w:rPr>
        <w:t>原始凭证。</w:t>
      </w:r>
    </w:p>
    <w:p>
      <w:pPr>
        <w:ind w:firstLine="704" w:firstLineChars="220"/>
        <w:rPr>
          <w:rFonts w:ascii="黑体" w:hAnsi="黑体" w:eastAsia="黑体" w:cs="Times New Roman"/>
          <w:bCs/>
          <w:sz w:val="32"/>
          <w:szCs w:val="32"/>
        </w:rPr>
      </w:pPr>
      <w:r>
        <w:rPr>
          <w:rFonts w:ascii="黑体" w:hAnsi="黑体" w:eastAsia="黑体" w:cs="Times New Roman"/>
          <w:bCs/>
          <w:sz w:val="32"/>
          <w:szCs w:val="32"/>
        </w:rPr>
        <w:t xml:space="preserve"> 四、财务报表和</w:t>
      </w:r>
      <w:r>
        <w:rPr>
          <w:rFonts w:hint="eastAsia" w:ascii="黑体" w:hAnsi="黑体" w:eastAsia="黑体" w:cs="Times New Roman"/>
          <w:bCs/>
          <w:sz w:val="32"/>
          <w:szCs w:val="32"/>
        </w:rPr>
        <w:t>预算会计</w:t>
      </w:r>
      <w:r>
        <w:rPr>
          <w:rFonts w:ascii="黑体" w:hAnsi="黑体" w:eastAsia="黑体" w:cs="Times New Roman"/>
          <w:bCs/>
          <w:sz w:val="32"/>
          <w:szCs w:val="32"/>
        </w:rPr>
        <w:t>报表</w:t>
      </w:r>
      <w:r>
        <w:rPr>
          <w:rFonts w:hint="eastAsia" w:ascii="黑体" w:hAnsi="黑体" w:eastAsia="黑体" w:cs="Times New Roman"/>
          <w:bCs/>
          <w:sz w:val="32"/>
          <w:szCs w:val="32"/>
        </w:rPr>
        <w:t>的</w:t>
      </w:r>
      <w:r>
        <w:rPr>
          <w:rFonts w:ascii="黑体" w:hAnsi="黑体" w:eastAsia="黑体" w:cs="Times New Roman"/>
          <w:bCs/>
          <w:sz w:val="32"/>
          <w:szCs w:val="32"/>
        </w:rPr>
        <w:t>新旧衔接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（一）编制2019年1月1日资产负债表</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高等学校应当根据2019年1月1日新账的财务会计科目余额，按照新制度编制2019年1月1日资产负债表（仅要求填列各项目“年初余额”）。</w:t>
      </w:r>
    </w:p>
    <w:p>
      <w:pPr>
        <w:autoSpaceDE w:val="0"/>
        <w:autoSpaceDN w:val="0"/>
        <w:adjustRightInd w:val="0"/>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（二）</w:t>
      </w:r>
      <w:r>
        <w:rPr>
          <w:rFonts w:ascii="Times New Roman" w:hAnsi="Times New Roman" w:eastAsia="仿宋_GB2312" w:cs="Times New Roman"/>
          <w:kern w:val="0"/>
          <w:sz w:val="32"/>
          <w:szCs w:val="32"/>
        </w:rPr>
        <w:t>2019年度财务报表和预算会计报表的编制</w:t>
      </w:r>
    </w:p>
    <w:p>
      <w:pPr>
        <w:widowControl/>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sz w:val="32"/>
          <w:szCs w:val="32"/>
        </w:rPr>
        <w:t>高等学校</w:t>
      </w:r>
      <w:r>
        <w:rPr>
          <w:rFonts w:ascii="Times New Roman" w:hAnsi="Times New Roman" w:eastAsia="仿宋_GB2312" w:cs="Times New Roman"/>
          <w:kern w:val="0"/>
          <w:sz w:val="32"/>
          <w:szCs w:val="32"/>
        </w:rPr>
        <w:t>应当按照新制度</w:t>
      </w:r>
      <w:r>
        <w:rPr>
          <w:rFonts w:hint="eastAsia" w:ascii="Times New Roman" w:hAnsi="Times New Roman" w:eastAsia="仿宋_GB2312" w:cs="Times New Roman"/>
          <w:kern w:val="0"/>
          <w:sz w:val="32"/>
          <w:szCs w:val="32"/>
        </w:rPr>
        <w:t>及补充</w:t>
      </w:r>
      <w:r>
        <w:rPr>
          <w:rFonts w:ascii="Times New Roman" w:hAnsi="Times New Roman" w:eastAsia="仿宋_GB2312" w:cs="Times New Roman"/>
          <w:kern w:val="0"/>
          <w:sz w:val="32"/>
          <w:szCs w:val="32"/>
        </w:rPr>
        <w:t>规定编制2019年财务报表和预算会计报表。在编制2019年度收入费用表、净资产变动表、现金流量表和预算收入支出表、预算结转结余变动表时，不要求填列上年比较数。</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等学校应当根据2019年1月1日新账财务会计科目余额，填列2019年净资产变动表各项目的“上年年末余额”；根据2019年1月1日新账预算会计科目余额，填列2019年预算结转结余变动表的“年初预算结转结余”项目和财政拨款预算收入支出表的“年初财政拨款结转结余”项目。</w:t>
      </w:r>
    </w:p>
    <w:p>
      <w:pPr>
        <w:ind w:firstLine="640" w:firstLineChars="200"/>
        <w:rPr>
          <w:rFonts w:ascii="黑体" w:hAnsi="黑体" w:eastAsia="黑体" w:cs="Times New Roman"/>
          <w:bCs/>
          <w:sz w:val="32"/>
          <w:szCs w:val="32"/>
        </w:rPr>
      </w:pPr>
      <w:r>
        <w:rPr>
          <w:rFonts w:ascii="黑体" w:hAnsi="黑体" w:eastAsia="黑体" w:cs="Times New Roman"/>
          <w:bCs/>
          <w:sz w:val="32"/>
          <w:szCs w:val="32"/>
        </w:rPr>
        <w:t>五、其他事项</w:t>
      </w:r>
    </w:p>
    <w:p>
      <w:pPr>
        <w:ind w:firstLine="560"/>
        <w:rPr>
          <w:rFonts w:ascii="仿宋_GB2312" w:hAnsi="仿宋" w:eastAsia="仿宋_GB2312" w:cs="宋体"/>
          <w:sz w:val="32"/>
          <w:szCs w:val="32"/>
        </w:rPr>
      </w:pPr>
      <w:r>
        <w:rPr>
          <w:rFonts w:hint="eastAsia" w:ascii="仿宋_GB2312" w:hAnsi="仿宋" w:eastAsia="仿宋_GB2312" w:cs="宋体"/>
          <w:sz w:val="32"/>
          <w:szCs w:val="32"/>
        </w:rPr>
        <w:t>（一）截至2018年12月31日尚未进行基建“并账”的高等学校，应当首先按照《新旧高等学校会计制度有关衔接问题的处理规定》（财会〔2014〕3号），将基建账套相关数据并入2018年12月31日原账中的相关科目余额，再按照本规定将2018年12月31日原账相关会计科目余额转入新账相应科目。</w:t>
      </w:r>
    </w:p>
    <w:p>
      <w:pPr>
        <w:widowControl/>
        <w:ind w:firstLine="640" w:firstLineChars="200"/>
        <w:jc w:val="left"/>
        <w:rPr>
          <w:rFonts w:ascii="仿宋" w:hAnsi="仿宋" w:eastAsia="仿宋" w:cs="Times New Roman"/>
          <w:sz w:val="32"/>
          <w:szCs w:val="32"/>
        </w:rPr>
      </w:pPr>
      <w:r>
        <w:rPr>
          <w:rFonts w:hint="eastAsia" w:ascii="Times New Roman" w:hAnsi="Times New Roman" w:eastAsia="仿宋_GB2312" w:cs="Times New Roman"/>
          <w:kern w:val="0"/>
          <w:sz w:val="32"/>
          <w:szCs w:val="32"/>
        </w:rPr>
        <w:t>（二）</w:t>
      </w:r>
      <w:r>
        <w:rPr>
          <w:rFonts w:ascii="Times New Roman" w:hAnsi="Times New Roman" w:eastAsia="仿宋_GB2312" w:cs="Times New Roman"/>
          <w:kern w:val="0"/>
          <w:sz w:val="32"/>
          <w:szCs w:val="32"/>
        </w:rPr>
        <w:t>2019年1月1日前执行新制度</w:t>
      </w:r>
      <w:r>
        <w:rPr>
          <w:rFonts w:hint="eastAsia" w:ascii="Times New Roman" w:hAnsi="Times New Roman" w:eastAsia="仿宋_GB2312" w:cs="Times New Roman"/>
          <w:kern w:val="0"/>
          <w:sz w:val="32"/>
          <w:szCs w:val="32"/>
        </w:rPr>
        <w:t>及补充规定</w:t>
      </w:r>
      <w:r>
        <w:rPr>
          <w:rFonts w:ascii="Times New Roman" w:hAnsi="Times New Roman" w:eastAsia="仿宋_GB2312" w:cs="Times New Roman"/>
          <w:kern w:val="0"/>
          <w:sz w:val="32"/>
          <w:szCs w:val="32"/>
        </w:rPr>
        <w:t>的高等学校，应当</w:t>
      </w:r>
      <w:r>
        <w:rPr>
          <w:rFonts w:hint="eastAsia" w:ascii="Times New Roman" w:hAnsi="Times New Roman" w:eastAsia="仿宋_GB2312" w:cs="Times New Roman"/>
          <w:kern w:val="0"/>
          <w:sz w:val="32"/>
          <w:szCs w:val="32"/>
        </w:rPr>
        <w:t>按</w:t>
      </w:r>
      <w:r>
        <w:rPr>
          <w:rFonts w:ascii="Times New Roman" w:hAnsi="Times New Roman" w:eastAsia="仿宋_GB2312" w:cs="Times New Roman"/>
          <w:kern w:val="0"/>
          <w:sz w:val="32"/>
          <w:szCs w:val="32"/>
        </w:rPr>
        <w:t>照本规定做好新旧制度衔接工作。</w:t>
      </w:r>
      <w:r>
        <w:rPr>
          <w:rFonts w:hint="eastAsia" w:ascii="Times New Roman" w:hAnsi="Times New Roman" w:eastAsia="仿宋_GB2312" w:cs="Times New Roman"/>
          <w:sz w:val="32"/>
          <w:szCs w:val="32"/>
        </w:rPr>
        <w:br w:type="page"/>
      </w:r>
      <w:r>
        <w:rPr>
          <w:rFonts w:hint="eastAsia" w:ascii="仿宋" w:hAnsi="仿宋" w:eastAsia="仿宋" w:cs="宋体"/>
          <w:sz w:val="32"/>
          <w:szCs w:val="32"/>
        </w:rPr>
        <w:t>附表1：</w:t>
      </w:r>
    </w:p>
    <w:p>
      <w:pPr>
        <w:ind w:firstLine="707" w:firstLineChars="220"/>
        <w:jc w:val="center"/>
        <w:rPr>
          <w:rFonts w:ascii="仿宋" w:hAnsi="仿宋" w:eastAsia="仿宋"/>
          <w:b/>
          <w:sz w:val="32"/>
          <w:szCs w:val="32"/>
        </w:rPr>
      </w:pPr>
      <w:r>
        <w:rPr>
          <w:rFonts w:hint="eastAsia" w:ascii="仿宋" w:hAnsi="仿宋" w:eastAsia="仿宋"/>
          <w:b/>
          <w:sz w:val="32"/>
          <w:szCs w:val="32"/>
        </w:rPr>
        <w:t>高等学校原会计科目余额明细表一</w:t>
      </w:r>
    </w:p>
    <w:tbl>
      <w:tblPr>
        <w:tblStyle w:val="14"/>
        <w:tblW w:w="861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708"/>
        <w:gridCol w:w="28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jc w:val="left"/>
              <w:rPr>
                <w:rFonts w:ascii="仿宋_GB2312" w:hAnsi="仿宋" w:eastAsia="仿宋_GB2312"/>
                <w:sz w:val="24"/>
                <w:szCs w:val="24"/>
              </w:rPr>
            </w:pPr>
            <w:r>
              <w:rPr>
                <w:rFonts w:hint="eastAsia" w:ascii="仿宋_GB2312" w:hAnsi="仿宋" w:eastAsia="仿宋_GB2312"/>
                <w:sz w:val="24"/>
                <w:szCs w:val="24"/>
              </w:rPr>
              <w:t>总账科目</w:t>
            </w:r>
          </w:p>
        </w:tc>
        <w:tc>
          <w:tcPr>
            <w:tcW w:w="3402" w:type="dxa"/>
            <w:vAlign w:val="center"/>
          </w:tcPr>
          <w:p>
            <w:pPr>
              <w:ind w:firstLine="528" w:firstLineChars="220"/>
              <w:jc w:val="center"/>
              <w:rPr>
                <w:rFonts w:ascii="仿宋_GB2312" w:hAnsi="仿宋" w:eastAsia="仿宋_GB2312"/>
                <w:sz w:val="24"/>
                <w:szCs w:val="24"/>
              </w:rPr>
            </w:pPr>
            <w:r>
              <w:rPr>
                <w:rFonts w:hint="eastAsia" w:ascii="仿宋_GB2312" w:hAnsi="仿宋" w:eastAsia="仿宋_GB2312"/>
                <w:sz w:val="24"/>
                <w:szCs w:val="24"/>
              </w:rPr>
              <w:t>明细分类</w:t>
            </w:r>
          </w:p>
        </w:tc>
        <w:tc>
          <w:tcPr>
            <w:tcW w:w="708" w:type="dxa"/>
            <w:vAlign w:val="center"/>
          </w:tcPr>
          <w:p>
            <w:pPr>
              <w:rPr>
                <w:rFonts w:ascii="仿宋_GB2312" w:hAnsi="仿宋" w:eastAsia="仿宋_GB2312"/>
                <w:sz w:val="24"/>
                <w:szCs w:val="24"/>
              </w:rPr>
            </w:pPr>
            <w:r>
              <w:rPr>
                <w:rFonts w:hint="eastAsia" w:ascii="仿宋_GB2312" w:hAnsi="仿宋" w:eastAsia="仿宋_GB2312"/>
                <w:sz w:val="24"/>
                <w:szCs w:val="24"/>
              </w:rPr>
              <w:t>金额</w:t>
            </w:r>
          </w:p>
        </w:tc>
        <w:tc>
          <w:tcPr>
            <w:tcW w:w="2835" w:type="dxa"/>
            <w:vAlign w:val="center"/>
          </w:tcPr>
          <w:p>
            <w:pPr>
              <w:ind w:firstLine="528" w:firstLineChars="220"/>
              <w:jc w:val="center"/>
              <w:rPr>
                <w:rFonts w:ascii="仿宋_GB2312" w:hAnsi="仿宋" w:eastAsia="仿宋_GB2312"/>
                <w:sz w:val="24"/>
                <w:szCs w:val="24"/>
              </w:rPr>
            </w:pPr>
            <w:r>
              <w:rPr>
                <w:rFonts w:hint="eastAsia" w:ascii="仿宋_GB2312" w:hAnsi="仿宋" w:eastAsia="仿宋_GB2312"/>
                <w:sz w:val="24"/>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68" w:type="dxa"/>
            <w:vMerge w:val="restart"/>
            <w:vAlign w:val="center"/>
          </w:tcPr>
          <w:p>
            <w:pPr>
              <w:jc w:val="left"/>
              <w:rPr>
                <w:rFonts w:ascii="仿宋_GB2312" w:hAnsi="仿宋" w:eastAsia="仿宋_GB2312"/>
                <w:sz w:val="24"/>
                <w:szCs w:val="24"/>
              </w:rPr>
            </w:pPr>
            <w:r>
              <w:rPr>
                <w:rFonts w:hint="eastAsia" w:ascii="仿宋_GB2312" w:hAnsi="仿宋" w:eastAsia="仿宋_GB2312"/>
                <w:sz w:val="24"/>
                <w:szCs w:val="24"/>
              </w:rPr>
              <w:t>库存现金</w:t>
            </w:r>
          </w:p>
        </w:tc>
        <w:tc>
          <w:tcPr>
            <w:tcW w:w="3402" w:type="dxa"/>
            <w:vAlign w:val="center"/>
          </w:tcPr>
          <w:p>
            <w:pPr>
              <w:rPr>
                <w:rFonts w:ascii="仿宋_GB2312" w:hAnsi="仿宋" w:eastAsia="仿宋_GB2312"/>
                <w:sz w:val="24"/>
                <w:szCs w:val="24"/>
              </w:rPr>
            </w:pPr>
            <w:r>
              <w:rPr>
                <w:rFonts w:hint="eastAsia" w:ascii="仿宋_GB2312" w:hAnsi="仿宋" w:eastAsia="仿宋_GB2312"/>
                <w:sz w:val="24"/>
                <w:szCs w:val="24"/>
              </w:rPr>
              <w:t>库存现金</w:t>
            </w:r>
          </w:p>
        </w:tc>
        <w:tc>
          <w:tcPr>
            <w:tcW w:w="708" w:type="dxa"/>
            <w:vAlign w:val="center"/>
          </w:tcPr>
          <w:p>
            <w:pPr>
              <w:ind w:firstLine="528" w:firstLineChars="220"/>
              <w:rPr>
                <w:rFonts w:ascii="仿宋_GB2312" w:hAnsi="仿宋" w:eastAsia="仿宋_GB2312"/>
                <w:sz w:val="24"/>
                <w:szCs w:val="24"/>
              </w:rPr>
            </w:pPr>
          </w:p>
        </w:tc>
        <w:tc>
          <w:tcPr>
            <w:tcW w:w="2835" w:type="dxa"/>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668" w:type="dxa"/>
            <w:vMerge w:val="continue"/>
            <w:vAlign w:val="center"/>
          </w:tcPr>
          <w:p>
            <w:pPr>
              <w:ind w:firstLine="528" w:firstLineChars="220"/>
              <w:jc w:val="left"/>
              <w:rPr>
                <w:rFonts w:ascii="仿宋_GB2312" w:hAnsi="仿宋" w:eastAsia="仿宋_GB2312"/>
                <w:sz w:val="24"/>
                <w:szCs w:val="24"/>
              </w:rPr>
            </w:pPr>
          </w:p>
        </w:tc>
        <w:tc>
          <w:tcPr>
            <w:tcW w:w="3402" w:type="dxa"/>
            <w:vAlign w:val="center"/>
          </w:tcPr>
          <w:p>
            <w:pPr>
              <w:rPr>
                <w:rFonts w:ascii="仿宋_GB2312" w:hAnsi="仿宋" w:eastAsia="仿宋_GB2312"/>
                <w:sz w:val="24"/>
                <w:szCs w:val="24"/>
              </w:rPr>
            </w:pPr>
            <w:r>
              <w:rPr>
                <w:rFonts w:hint="eastAsia" w:ascii="仿宋_GB2312" w:hAnsi="仿宋" w:eastAsia="仿宋_GB2312"/>
                <w:sz w:val="24"/>
                <w:szCs w:val="24"/>
              </w:rPr>
              <w:t>其中：受托代理现金</w:t>
            </w:r>
          </w:p>
        </w:tc>
        <w:tc>
          <w:tcPr>
            <w:tcW w:w="708" w:type="dxa"/>
            <w:vAlign w:val="center"/>
          </w:tcPr>
          <w:p>
            <w:pPr>
              <w:ind w:firstLine="528" w:firstLineChars="220"/>
              <w:rPr>
                <w:rFonts w:ascii="仿宋_GB2312" w:hAnsi="仿宋" w:eastAsia="仿宋_GB2312"/>
                <w:sz w:val="24"/>
                <w:szCs w:val="24"/>
              </w:rPr>
            </w:pPr>
          </w:p>
        </w:tc>
        <w:tc>
          <w:tcPr>
            <w:tcW w:w="2835" w:type="dxa"/>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jc w:val="left"/>
              <w:rPr>
                <w:rFonts w:ascii="仿宋_GB2312" w:hAnsi="仿宋" w:eastAsia="仿宋_GB2312"/>
                <w:sz w:val="24"/>
                <w:szCs w:val="24"/>
              </w:rPr>
            </w:pPr>
            <w:r>
              <w:rPr>
                <w:rFonts w:hint="eastAsia" w:ascii="仿宋_GB2312" w:hAnsi="仿宋" w:eastAsia="仿宋_GB2312"/>
                <w:sz w:val="24"/>
                <w:szCs w:val="24"/>
              </w:rPr>
              <w:t>银行存款</w:t>
            </w:r>
          </w:p>
        </w:tc>
        <w:tc>
          <w:tcPr>
            <w:tcW w:w="3402" w:type="dxa"/>
            <w:vAlign w:val="center"/>
          </w:tcPr>
          <w:p>
            <w:pPr>
              <w:rPr>
                <w:rFonts w:ascii="仿宋_GB2312" w:hAnsi="仿宋" w:eastAsia="仿宋_GB2312"/>
                <w:sz w:val="24"/>
                <w:szCs w:val="24"/>
              </w:rPr>
            </w:pPr>
            <w:r>
              <w:rPr>
                <w:rFonts w:hint="eastAsia" w:ascii="仿宋_GB2312" w:hAnsi="仿宋" w:eastAsia="仿宋_GB2312"/>
                <w:sz w:val="24"/>
                <w:szCs w:val="24"/>
              </w:rPr>
              <w:t>银行存款</w:t>
            </w:r>
          </w:p>
        </w:tc>
        <w:tc>
          <w:tcPr>
            <w:tcW w:w="708" w:type="dxa"/>
            <w:vAlign w:val="center"/>
          </w:tcPr>
          <w:p>
            <w:pPr>
              <w:ind w:firstLine="528" w:firstLineChars="220"/>
              <w:rPr>
                <w:rFonts w:ascii="仿宋_GB2312" w:hAnsi="仿宋" w:eastAsia="仿宋_GB2312"/>
                <w:sz w:val="24"/>
                <w:szCs w:val="24"/>
              </w:rPr>
            </w:pPr>
          </w:p>
        </w:tc>
        <w:tc>
          <w:tcPr>
            <w:tcW w:w="2835" w:type="dxa"/>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ind w:firstLine="528" w:firstLineChars="220"/>
              <w:jc w:val="left"/>
              <w:rPr>
                <w:rFonts w:ascii="仿宋_GB2312" w:hAnsi="仿宋" w:eastAsia="仿宋_GB2312"/>
                <w:sz w:val="24"/>
                <w:szCs w:val="24"/>
              </w:rPr>
            </w:pPr>
          </w:p>
        </w:tc>
        <w:tc>
          <w:tcPr>
            <w:tcW w:w="3402" w:type="dxa"/>
            <w:vAlign w:val="center"/>
          </w:tcPr>
          <w:p>
            <w:pPr>
              <w:rPr>
                <w:rFonts w:ascii="仿宋_GB2312" w:hAnsi="仿宋" w:eastAsia="仿宋_GB2312"/>
                <w:sz w:val="24"/>
                <w:szCs w:val="24"/>
              </w:rPr>
            </w:pPr>
            <w:r>
              <w:rPr>
                <w:rFonts w:hint="eastAsia" w:ascii="仿宋_GB2312" w:hAnsi="仿宋" w:eastAsia="仿宋_GB2312"/>
                <w:sz w:val="24"/>
                <w:szCs w:val="24"/>
              </w:rPr>
              <w:t>其中：受托代理银行存款</w:t>
            </w:r>
          </w:p>
        </w:tc>
        <w:tc>
          <w:tcPr>
            <w:tcW w:w="708" w:type="dxa"/>
            <w:vAlign w:val="center"/>
          </w:tcPr>
          <w:p>
            <w:pPr>
              <w:ind w:firstLine="528" w:firstLineChars="220"/>
              <w:rPr>
                <w:rFonts w:ascii="仿宋_GB2312" w:hAnsi="仿宋" w:eastAsia="仿宋_GB2312"/>
                <w:sz w:val="24"/>
                <w:szCs w:val="24"/>
              </w:rPr>
            </w:pPr>
          </w:p>
        </w:tc>
        <w:tc>
          <w:tcPr>
            <w:tcW w:w="2835" w:type="dxa"/>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668" w:type="dxa"/>
            <w:vMerge w:val="continue"/>
            <w:vAlign w:val="center"/>
          </w:tcPr>
          <w:p>
            <w:pPr>
              <w:ind w:firstLine="528" w:firstLineChars="220"/>
              <w:jc w:val="left"/>
              <w:rPr>
                <w:rFonts w:ascii="仿宋_GB2312" w:hAnsi="仿宋" w:eastAsia="仿宋_GB2312"/>
                <w:sz w:val="24"/>
                <w:szCs w:val="24"/>
              </w:rPr>
            </w:pPr>
          </w:p>
        </w:tc>
        <w:tc>
          <w:tcPr>
            <w:tcW w:w="3402" w:type="dxa"/>
            <w:vAlign w:val="center"/>
          </w:tcPr>
          <w:p>
            <w:pPr>
              <w:rPr>
                <w:rFonts w:ascii="仿宋_GB2312" w:hAnsi="仿宋" w:eastAsia="仿宋_GB2312"/>
                <w:sz w:val="24"/>
                <w:szCs w:val="24"/>
              </w:rPr>
            </w:pPr>
            <w:r>
              <w:rPr>
                <w:rFonts w:hint="eastAsia" w:ascii="仿宋_GB2312" w:hAnsi="仿宋" w:eastAsia="仿宋_GB2312"/>
                <w:sz w:val="24"/>
                <w:szCs w:val="24"/>
              </w:rPr>
              <w:t>其他货币资金</w:t>
            </w:r>
          </w:p>
        </w:tc>
        <w:tc>
          <w:tcPr>
            <w:tcW w:w="708" w:type="dxa"/>
            <w:vAlign w:val="center"/>
          </w:tcPr>
          <w:p>
            <w:pPr>
              <w:ind w:firstLine="528" w:firstLineChars="220"/>
              <w:rPr>
                <w:rFonts w:ascii="仿宋_GB2312" w:hAnsi="仿宋" w:eastAsia="仿宋_GB2312"/>
                <w:sz w:val="24"/>
                <w:szCs w:val="24"/>
              </w:rPr>
            </w:pPr>
          </w:p>
        </w:tc>
        <w:tc>
          <w:tcPr>
            <w:tcW w:w="2835" w:type="dxa"/>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8" w:type="dxa"/>
            <w:vMerge w:val="restart"/>
            <w:vAlign w:val="center"/>
          </w:tcPr>
          <w:p>
            <w:pPr>
              <w:jc w:val="left"/>
              <w:rPr>
                <w:rFonts w:ascii="仿宋_GB2312" w:hAnsi="仿宋" w:eastAsia="仿宋_GB2312"/>
                <w:sz w:val="24"/>
                <w:szCs w:val="24"/>
              </w:rPr>
            </w:pPr>
            <w:r>
              <w:rPr>
                <w:rFonts w:hint="eastAsia" w:ascii="仿宋_GB2312" w:hAnsi="仿宋" w:eastAsia="仿宋_GB2312"/>
                <w:sz w:val="24"/>
                <w:szCs w:val="24"/>
              </w:rPr>
              <w:t>预付账款</w:t>
            </w:r>
          </w:p>
        </w:tc>
        <w:tc>
          <w:tcPr>
            <w:tcW w:w="3402" w:type="dxa"/>
            <w:vAlign w:val="center"/>
          </w:tcPr>
          <w:p>
            <w:pPr>
              <w:rPr>
                <w:rFonts w:ascii="仿宋_GB2312" w:hAnsi="仿宋" w:eastAsia="仿宋_GB2312"/>
                <w:sz w:val="24"/>
                <w:szCs w:val="24"/>
              </w:rPr>
            </w:pPr>
            <w:r>
              <w:rPr>
                <w:rFonts w:hint="eastAsia" w:ascii="仿宋_GB2312" w:hAnsi="仿宋" w:eastAsia="仿宋_GB2312"/>
                <w:sz w:val="24"/>
                <w:szCs w:val="24"/>
              </w:rPr>
              <w:t>使用受托代理资金预付</w:t>
            </w:r>
          </w:p>
        </w:tc>
        <w:tc>
          <w:tcPr>
            <w:tcW w:w="708" w:type="dxa"/>
            <w:vAlign w:val="center"/>
          </w:tcPr>
          <w:p>
            <w:pPr>
              <w:ind w:firstLine="528" w:firstLineChars="220"/>
              <w:rPr>
                <w:rFonts w:ascii="仿宋_GB2312" w:hAnsi="仿宋" w:eastAsia="仿宋_GB2312"/>
                <w:sz w:val="24"/>
                <w:szCs w:val="24"/>
              </w:rPr>
            </w:pPr>
          </w:p>
        </w:tc>
        <w:tc>
          <w:tcPr>
            <w:tcW w:w="2835" w:type="dxa"/>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668" w:type="dxa"/>
            <w:vMerge w:val="continue"/>
            <w:vAlign w:val="center"/>
          </w:tcPr>
          <w:p>
            <w:pPr>
              <w:ind w:firstLine="528" w:firstLineChars="220"/>
              <w:jc w:val="left"/>
              <w:rPr>
                <w:rFonts w:ascii="仿宋_GB2312" w:hAnsi="仿宋" w:eastAsia="仿宋_GB2312"/>
                <w:sz w:val="24"/>
                <w:szCs w:val="24"/>
              </w:rPr>
            </w:pPr>
          </w:p>
        </w:tc>
        <w:tc>
          <w:tcPr>
            <w:tcW w:w="3402" w:type="dxa"/>
            <w:vAlign w:val="center"/>
          </w:tcPr>
          <w:p>
            <w:pPr>
              <w:rPr>
                <w:rFonts w:ascii="仿宋_GB2312" w:hAnsi="仿宋" w:eastAsia="仿宋_GB2312"/>
                <w:sz w:val="24"/>
                <w:szCs w:val="24"/>
              </w:rPr>
            </w:pPr>
            <w:r>
              <w:rPr>
                <w:rFonts w:hint="eastAsia" w:ascii="仿宋_GB2312" w:hAnsi="仿宋" w:eastAsia="仿宋_GB2312"/>
                <w:sz w:val="24"/>
                <w:szCs w:val="24"/>
              </w:rPr>
              <w:t>其他</w:t>
            </w:r>
          </w:p>
        </w:tc>
        <w:tc>
          <w:tcPr>
            <w:tcW w:w="708" w:type="dxa"/>
            <w:vAlign w:val="center"/>
          </w:tcPr>
          <w:p>
            <w:pPr>
              <w:ind w:firstLine="528" w:firstLineChars="220"/>
              <w:rPr>
                <w:rFonts w:ascii="仿宋_GB2312" w:hAnsi="仿宋" w:eastAsia="仿宋_GB2312"/>
                <w:sz w:val="24"/>
                <w:szCs w:val="24"/>
              </w:rPr>
            </w:pPr>
          </w:p>
        </w:tc>
        <w:tc>
          <w:tcPr>
            <w:tcW w:w="2835" w:type="dxa"/>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jc w:val="left"/>
              <w:rPr>
                <w:rFonts w:ascii="仿宋_GB2312" w:hAnsi="仿宋" w:eastAsia="仿宋_GB2312"/>
                <w:sz w:val="24"/>
                <w:szCs w:val="24"/>
              </w:rPr>
            </w:pPr>
            <w:r>
              <w:rPr>
                <w:rFonts w:hint="eastAsia" w:ascii="仿宋_GB2312" w:hAnsi="仿宋" w:eastAsia="仿宋_GB2312"/>
                <w:sz w:val="24"/>
                <w:szCs w:val="24"/>
              </w:rPr>
              <w:t>其他应收款</w:t>
            </w:r>
          </w:p>
        </w:tc>
        <w:tc>
          <w:tcPr>
            <w:tcW w:w="3402" w:type="dxa"/>
            <w:vAlign w:val="center"/>
          </w:tcPr>
          <w:p>
            <w:pPr>
              <w:rPr>
                <w:rFonts w:ascii="仿宋_GB2312" w:hAnsi="仿宋" w:eastAsia="仿宋_GB2312"/>
                <w:sz w:val="24"/>
                <w:szCs w:val="24"/>
              </w:rPr>
            </w:pPr>
            <w:r>
              <w:rPr>
                <w:rFonts w:hint="eastAsia" w:ascii="仿宋_GB2312" w:hAnsi="仿宋" w:eastAsia="仿宋_GB2312"/>
                <w:sz w:val="24"/>
                <w:szCs w:val="24"/>
              </w:rPr>
              <w:t>在途物品</w:t>
            </w:r>
          </w:p>
        </w:tc>
        <w:tc>
          <w:tcPr>
            <w:tcW w:w="708" w:type="dxa"/>
            <w:vAlign w:val="center"/>
          </w:tcPr>
          <w:p>
            <w:pPr>
              <w:ind w:firstLine="528" w:firstLineChars="220"/>
              <w:rPr>
                <w:rFonts w:ascii="仿宋_GB2312" w:hAnsi="仿宋" w:eastAsia="仿宋_GB2312"/>
                <w:sz w:val="24"/>
                <w:szCs w:val="24"/>
              </w:rPr>
            </w:pPr>
          </w:p>
        </w:tc>
        <w:tc>
          <w:tcPr>
            <w:tcW w:w="2835" w:type="dxa"/>
          </w:tcPr>
          <w:p>
            <w:pPr>
              <w:rPr>
                <w:rFonts w:ascii="仿宋_GB2312" w:hAnsi="仿宋" w:eastAsia="仿宋_GB2312"/>
              </w:rPr>
            </w:pPr>
            <w:r>
              <w:rPr>
                <w:rFonts w:hint="eastAsia" w:ascii="仿宋_GB2312" w:hAnsi="Times New Roman" w:eastAsia="仿宋_GB2312" w:cs="Times New Roman"/>
              </w:rPr>
              <w:t>已经付款或已开出商业汇票，尚未收到物资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ind w:firstLine="528" w:firstLineChars="220"/>
              <w:jc w:val="left"/>
              <w:rPr>
                <w:rFonts w:ascii="仿宋_GB2312" w:hAnsi="仿宋" w:eastAsia="仿宋_GB2312"/>
                <w:sz w:val="24"/>
                <w:szCs w:val="24"/>
              </w:rPr>
            </w:pPr>
          </w:p>
        </w:tc>
        <w:tc>
          <w:tcPr>
            <w:tcW w:w="3402" w:type="dxa"/>
            <w:vAlign w:val="center"/>
          </w:tcPr>
          <w:p>
            <w:pPr>
              <w:rPr>
                <w:rFonts w:ascii="仿宋_GB2312" w:hAnsi="仿宋" w:eastAsia="仿宋_GB2312"/>
                <w:sz w:val="24"/>
                <w:szCs w:val="24"/>
              </w:rPr>
            </w:pPr>
            <w:r>
              <w:rPr>
                <w:rFonts w:hint="eastAsia" w:ascii="仿宋_GB2312" w:hAnsi="仿宋" w:eastAsia="仿宋_GB2312"/>
                <w:sz w:val="24"/>
                <w:szCs w:val="24"/>
              </w:rPr>
              <w:t>使用受托代理资金应收</w:t>
            </w:r>
          </w:p>
        </w:tc>
        <w:tc>
          <w:tcPr>
            <w:tcW w:w="708" w:type="dxa"/>
            <w:vAlign w:val="center"/>
          </w:tcPr>
          <w:p>
            <w:pPr>
              <w:ind w:firstLine="528" w:firstLineChars="220"/>
              <w:rPr>
                <w:rFonts w:ascii="仿宋_GB2312" w:hAnsi="仿宋" w:eastAsia="仿宋_GB2312"/>
                <w:sz w:val="24"/>
                <w:szCs w:val="24"/>
              </w:rPr>
            </w:pPr>
          </w:p>
        </w:tc>
        <w:tc>
          <w:tcPr>
            <w:tcW w:w="2835" w:type="dxa"/>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ind w:firstLine="528" w:firstLineChars="220"/>
              <w:jc w:val="left"/>
              <w:rPr>
                <w:rFonts w:ascii="仿宋_GB2312" w:hAnsi="仿宋" w:eastAsia="仿宋_GB2312"/>
                <w:sz w:val="24"/>
                <w:szCs w:val="24"/>
              </w:rPr>
            </w:pPr>
          </w:p>
        </w:tc>
        <w:tc>
          <w:tcPr>
            <w:tcW w:w="3402" w:type="dxa"/>
            <w:vAlign w:val="center"/>
          </w:tcPr>
          <w:p>
            <w:pPr>
              <w:rPr>
                <w:rFonts w:ascii="仿宋_GB2312" w:hAnsi="仿宋" w:eastAsia="仿宋_GB2312"/>
                <w:sz w:val="24"/>
                <w:szCs w:val="24"/>
              </w:rPr>
            </w:pPr>
            <w:r>
              <w:rPr>
                <w:rFonts w:hint="eastAsia" w:ascii="仿宋_GB2312" w:hAnsi="仿宋" w:eastAsia="仿宋_GB2312"/>
                <w:sz w:val="24"/>
                <w:szCs w:val="24"/>
              </w:rPr>
              <w:t>其他</w:t>
            </w:r>
          </w:p>
        </w:tc>
        <w:tc>
          <w:tcPr>
            <w:tcW w:w="708" w:type="dxa"/>
            <w:vAlign w:val="center"/>
          </w:tcPr>
          <w:p>
            <w:pPr>
              <w:ind w:firstLine="528" w:firstLineChars="220"/>
              <w:rPr>
                <w:rFonts w:ascii="仿宋_GB2312" w:hAnsi="仿宋" w:eastAsia="仿宋_GB2312"/>
                <w:sz w:val="24"/>
                <w:szCs w:val="24"/>
              </w:rPr>
            </w:pPr>
          </w:p>
        </w:tc>
        <w:tc>
          <w:tcPr>
            <w:tcW w:w="2835" w:type="dxa"/>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jc w:val="left"/>
              <w:rPr>
                <w:rFonts w:ascii="仿宋_GB2312" w:hAnsi="仿宋" w:eastAsia="仿宋_GB2312"/>
                <w:sz w:val="24"/>
                <w:szCs w:val="24"/>
              </w:rPr>
            </w:pPr>
            <w:r>
              <w:rPr>
                <w:rFonts w:hint="eastAsia" w:ascii="仿宋_GB2312" w:hAnsi="仿宋" w:eastAsia="仿宋_GB2312"/>
                <w:sz w:val="24"/>
                <w:szCs w:val="24"/>
              </w:rPr>
              <w:t>存货</w:t>
            </w:r>
          </w:p>
        </w:tc>
        <w:tc>
          <w:tcPr>
            <w:tcW w:w="3402" w:type="dxa"/>
            <w:vAlign w:val="center"/>
          </w:tcPr>
          <w:p>
            <w:pPr>
              <w:rPr>
                <w:rFonts w:ascii="仿宋_GB2312" w:hAnsi="仿宋" w:eastAsia="仿宋_GB2312"/>
                <w:sz w:val="24"/>
                <w:szCs w:val="24"/>
              </w:rPr>
            </w:pPr>
            <w:r>
              <w:rPr>
                <w:rFonts w:hint="eastAsia" w:ascii="仿宋_GB2312" w:hAnsi="Times New Roman" w:eastAsia="仿宋_GB2312" w:cs="Times New Roman"/>
                <w:sz w:val="24"/>
                <w:szCs w:val="24"/>
              </w:rPr>
              <w:t>在加工存货</w:t>
            </w:r>
          </w:p>
        </w:tc>
        <w:tc>
          <w:tcPr>
            <w:tcW w:w="708" w:type="dxa"/>
            <w:vAlign w:val="center"/>
          </w:tcPr>
          <w:p>
            <w:pPr>
              <w:ind w:firstLine="528" w:firstLineChars="220"/>
              <w:rPr>
                <w:rFonts w:ascii="仿宋_GB2312" w:hAnsi="仿宋" w:eastAsia="仿宋_GB2312"/>
                <w:sz w:val="24"/>
                <w:szCs w:val="24"/>
              </w:rPr>
            </w:pPr>
          </w:p>
        </w:tc>
        <w:tc>
          <w:tcPr>
            <w:tcW w:w="2835" w:type="dxa"/>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jc w:val="left"/>
              <w:rPr>
                <w:rFonts w:ascii="仿宋_GB2312" w:hAnsi="仿宋" w:eastAsia="仿宋_GB2312"/>
                <w:sz w:val="24"/>
                <w:szCs w:val="24"/>
              </w:rPr>
            </w:pPr>
          </w:p>
        </w:tc>
        <w:tc>
          <w:tcPr>
            <w:tcW w:w="3402" w:type="dxa"/>
            <w:vAlign w:val="center"/>
          </w:tcPr>
          <w:p>
            <w:pPr>
              <w:rPr>
                <w:rFonts w:ascii="仿宋_GB2312" w:hAnsi="仿宋" w:eastAsia="仿宋_GB2312"/>
                <w:sz w:val="24"/>
                <w:szCs w:val="24"/>
              </w:rPr>
            </w:pPr>
            <w:r>
              <w:rPr>
                <w:rFonts w:hint="eastAsia" w:ascii="仿宋_GB2312" w:hAnsi="Times New Roman" w:eastAsia="仿宋_GB2312" w:cs="Times New Roman"/>
                <w:sz w:val="24"/>
                <w:szCs w:val="24"/>
              </w:rPr>
              <w:t>非在加工存货</w:t>
            </w:r>
          </w:p>
        </w:tc>
        <w:tc>
          <w:tcPr>
            <w:tcW w:w="708" w:type="dxa"/>
            <w:vAlign w:val="center"/>
          </w:tcPr>
          <w:p>
            <w:pPr>
              <w:ind w:firstLine="528" w:firstLineChars="220"/>
              <w:rPr>
                <w:rFonts w:ascii="仿宋_GB2312" w:hAnsi="仿宋" w:eastAsia="仿宋_GB2312"/>
                <w:sz w:val="24"/>
                <w:szCs w:val="24"/>
              </w:rPr>
            </w:pPr>
          </w:p>
        </w:tc>
        <w:tc>
          <w:tcPr>
            <w:tcW w:w="2835" w:type="dxa"/>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ind w:firstLine="528" w:firstLineChars="220"/>
              <w:jc w:val="left"/>
              <w:rPr>
                <w:rFonts w:ascii="仿宋_GB2312" w:hAnsi="仿宋" w:eastAsia="仿宋_GB2312"/>
                <w:sz w:val="24"/>
                <w:szCs w:val="24"/>
              </w:rPr>
            </w:pPr>
          </w:p>
        </w:tc>
        <w:tc>
          <w:tcPr>
            <w:tcW w:w="3402" w:type="dxa"/>
            <w:vAlign w:val="center"/>
          </w:tcPr>
          <w:p>
            <w:pPr>
              <w:rPr>
                <w:rFonts w:ascii="仿宋_GB2312" w:hAnsi="仿宋" w:eastAsia="仿宋_GB2312"/>
                <w:sz w:val="24"/>
                <w:szCs w:val="24"/>
              </w:rPr>
            </w:pPr>
            <w:r>
              <w:rPr>
                <w:rFonts w:hint="eastAsia" w:ascii="仿宋_GB2312" w:hAnsi="Times New Roman" w:eastAsia="仿宋_GB2312" w:cs="Times New Roman"/>
                <w:sz w:val="24"/>
                <w:szCs w:val="24"/>
              </w:rPr>
              <w:t>受托代理资产</w:t>
            </w:r>
          </w:p>
        </w:tc>
        <w:tc>
          <w:tcPr>
            <w:tcW w:w="708" w:type="dxa"/>
            <w:vAlign w:val="center"/>
          </w:tcPr>
          <w:p>
            <w:pPr>
              <w:ind w:firstLine="528" w:firstLineChars="220"/>
              <w:rPr>
                <w:rFonts w:ascii="仿宋_GB2312" w:hAnsi="仿宋" w:eastAsia="仿宋_GB2312"/>
                <w:sz w:val="24"/>
                <w:szCs w:val="24"/>
              </w:rPr>
            </w:pPr>
          </w:p>
        </w:tc>
        <w:tc>
          <w:tcPr>
            <w:tcW w:w="2835" w:type="dxa"/>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jc w:val="left"/>
              <w:rPr>
                <w:rFonts w:ascii="仿宋_GB2312" w:hAnsi="仿宋" w:eastAsia="仿宋_GB2312"/>
                <w:sz w:val="24"/>
                <w:szCs w:val="24"/>
              </w:rPr>
            </w:pPr>
            <w:r>
              <w:rPr>
                <w:rFonts w:hint="eastAsia" w:ascii="仿宋_GB2312" w:hAnsi="仿宋" w:eastAsia="仿宋_GB2312"/>
                <w:sz w:val="24"/>
                <w:szCs w:val="24"/>
              </w:rPr>
              <w:t>长期投资</w:t>
            </w:r>
          </w:p>
        </w:tc>
        <w:tc>
          <w:tcPr>
            <w:tcW w:w="3402" w:type="dxa"/>
            <w:vAlign w:val="center"/>
          </w:tcPr>
          <w:p>
            <w:pPr>
              <w:rPr>
                <w:rFonts w:ascii="仿宋_GB2312" w:hAnsi="Times New Roman" w:eastAsia="仿宋_GB2312" w:cs="Times New Roman"/>
                <w:sz w:val="24"/>
                <w:szCs w:val="24"/>
              </w:rPr>
            </w:pPr>
            <w:r>
              <w:rPr>
                <w:rFonts w:hint="eastAsia" w:ascii="仿宋_GB2312" w:hAnsi="仿宋" w:eastAsia="仿宋_GB2312"/>
                <w:sz w:val="24"/>
                <w:szCs w:val="24"/>
              </w:rPr>
              <w:t>长期股权投资</w:t>
            </w:r>
          </w:p>
        </w:tc>
        <w:tc>
          <w:tcPr>
            <w:tcW w:w="708" w:type="dxa"/>
            <w:vAlign w:val="center"/>
          </w:tcPr>
          <w:p>
            <w:pPr>
              <w:ind w:firstLine="528" w:firstLineChars="220"/>
              <w:rPr>
                <w:rFonts w:ascii="仿宋_GB2312" w:hAnsi="仿宋" w:eastAsia="仿宋_GB2312"/>
                <w:sz w:val="24"/>
                <w:szCs w:val="24"/>
              </w:rPr>
            </w:pPr>
          </w:p>
        </w:tc>
        <w:tc>
          <w:tcPr>
            <w:tcW w:w="2835" w:type="dxa"/>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jc w:val="left"/>
              <w:rPr>
                <w:rFonts w:ascii="仿宋_GB2312" w:hAnsi="仿宋" w:eastAsia="仿宋_GB2312"/>
                <w:sz w:val="24"/>
                <w:szCs w:val="24"/>
              </w:rPr>
            </w:pPr>
          </w:p>
        </w:tc>
        <w:tc>
          <w:tcPr>
            <w:tcW w:w="3402" w:type="dxa"/>
            <w:vAlign w:val="center"/>
          </w:tcPr>
          <w:p>
            <w:pPr>
              <w:rPr>
                <w:rFonts w:ascii="仿宋_GB2312" w:hAnsi="Times New Roman" w:eastAsia="仿宋_GB2312" w:cs="Times New Roman"/>
                <w:sz w:val="24"/>
                <w:szCs w:val="24"/>
              </w:rPr>
            </w:pPr>
            <w:r>
              <w:rPr>
                <w:rFonts w:hint="eastAsia" w:ascii="仿宋_GB2312" w:hAnsi="仿宋" w:eastAsia="仿宋_GB2312"/>
                <w:sz w:val="24"/>
                <w:szCs w:val="24"/>
              </w:rPr>
              <w:t>其中：对企业法人单位的投资</w:t>
            </w:r>
          </w:p>
        </w:tc>
        <w:tc>
          <w:tcPr>
            <w:tcW w:w="708" w:type="dxa"/>
            <w:vAlign w:val="center"/>
          </w:tcPr>
          <w:p>
            <w:pPr>
              <w:ind w:firstLine="528" w:firstLineChars="220"/>
              <w:rPr>
                <w:rFonts w:ascii="仿宋_GB2312" w:hAnsi="仿宋" w:eastAsia="仿宋_GB2312"/>
                <w:sz w:val="24"/>
                <w:szCs w:val="24"/>
              </w:rPr>
            </w:pPr>
          </w:p>
        </w:tc>
        <w:tc>
          <w:tcPr>
            <w:tcW w:w="2835" w:type="dxa"/>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ind w:firstLine="528" w:firstLineChars="220"/>
              <w:jc w:val="left"/>
              <w:rPr>
                <w:rFonts w:ascii="仿宋_GB2312" w:hAnsi="仿宋" w:eastAsia="仿宋_GB2312"/>
                <w:sz w:val="24"/>
                <w:szCs w:val="24"/>
              </w:rPr>
            </w:pPr>
          </w:p>
        </w:tc>
        <w:tc>
          <w:tcPr>
            <w:tcW w:w="3402" w:type="dxa"/>
            <w:vAlign w:val="center"/>
          </w:tcPr>
          <w:p>
            <w:pPr>
              <w:rPr>
                <w:rFonts w:ascii="仿宋_GB2312" w:hAnsi="Times New Roman" w:eastAsia="仿宋_GB2312" w:cs="Times New Roman"/>
                <w:sz w:val="24"/>
                <w:szCs w:val="24"/>
              </w:rPr>
            </w:pPr>
            <w:r>
              <w:rPr>
                <w:rFonts w:hint="eastAsia" w:ascii="仿宋_GB2312" w:hAnsi="仿宋" w:eastAsia="仿宋_GB2312"/>
                <w:sz w:val="24"/>
                <w:szCs w:val="24"/>
              </w:rPr>
              <w:t>长期债券投资</w:t>
            </w:r>
          </w:p>
        </w:tc>
        <w:tc>
          <w:tcPr>
            <w:tcW w:w="708" w:type="dxa"/>
            <w:vAlign w:val="center"/>
          </w:tcPr>
          <w:p>
            <w:pPr>
              <w:ind w:firstLine="528" w:firstLineChars="220"/>
              <w:rPr>
                <w:rFonts w:ascii="仿宋_GB2312" w:hAnsi="仿宋" w:eastAsia="仿宋_GB2312"/>
                <w:sz w:val="24"/>
                <w:szCs w:val="24"/>
              </w:rPr>
            </w:pPr>
          </w:p>
        </w:tc>
        <w:tc>
          <w:tcPr>
            <w:tcW w:w="2835" w:type="dxa"/>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jc w:val="left"/>
              <w:rPr>
                <w:rFonts w:ascii="仿宋_GB2312" w:hAnsi="仿宋" w:eastAsia="仿宋_GB2312"/>
                <w:sz w:val="24"/>
                <w:szCs w:val="24"/>
              </w:rPr>
            </w:pPr>
            <w:r>
              <w:rPr>
                <w:rFonts w:hint="eastAsia" w:ascii="仿宋_GB2312" w:hAnsi="仿宋" w:eastAsia="仿宋_GB2312"/>
                <w:sz w:val="24"/>
                <w:szCs w:val="24"/>
              </w:rPr>
              <w:t>固定资产</w:t>
            </w:r>
          </w:p>
        </w:tc>
        <w:tc>
          <w:tcPr>
            <w:tcW w:w="3402"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固定资产</w:t>
            </w:r>
          </w:p>
        </w:tc>
        <w:tc>
          <w:tcPr>
            <w:tcW w:w="708" w:type="dxa"/>
            <w:vAlign w:val="center"/>
          </w:tcPr>
          <w:p>
            <w:pPr>
              <w:ind w:firstLine="528" w:firstLineChars="220"/>
              <w:rPr>
                <w:rFonts w:ascii="仿宋_GB2312" w:hAnsi="仿宋" w:eastAsia="仿宋_GB2312"/>
                <w:sz w:val="24"/>
                <w:szCs w:val="24"/>
              </w:rPr>
            </w:pPr>
          </w:p>
        </w:tc>
        <w:tc>
          <w:tcPr>
            <w:tcW w:w="2835" w:type="dxa"/>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ind w:firstLine="528" w:firstLineChars="220"/>
              <w:jc w:val="left"/>
              <w:rPr>
                <w:rFonts w:ascii="仿宋_GB2312" w:hAnsi="仿宋" w:eastAsia="仿宋_GB2312"/>
                <w:sz w:val="24"/>
                <w:szCs w:val="24"/>
              </w:rPr>
            </w:pPr>
          </w:p>
        </w:tc>
        <w:tc>
          <w:tcPr>
            <w:tcW w:w="3402"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受托代理固定资产</w:t>
            </w:r>
          </w:p>
        </w:tc>
        <w:tc>
          <w:tcPr>
            <w:tcW w:w="708" w:type="dxa"/>
            <w:vAlign w:val="center"/>
          </w:tcPr>
          <w:p>
            <w:pPr>
              <w:ind w:firstLine="528" w:firstLineChars="220"/>
              <w:rPr>
                <w:rFonts w:ascii="仿宋_GB2312" w:hAnsi="仿宋" w:eastAsia="仿宋_GB2312"/>
                <w:sz w:val="24"/>
                <w:szCs w:val="24"/>
              </w:rPr>
            </w:pPr>
          </w:p>
        </w:tc>
        <w:tc>
          <w:tcPr>
            <w:tcW w:w="2835" w:type="dxa"/>
          </w:tcPr>
          <w:p>
            <w:pPr>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jc w:val="left"/>
              <w:rPr>
                <w:rFonts w:ascii="仿宋_GB2312" w:hAnsi="仿宋" w:eastAsia="仿宋_GB2312"/>
                <w:sz w:val="24"/>
                <w:szCs w:val="24"/>
              </w:rPr>
            </w:pPr>
            <w:r>
              <w:rPr>
                <w:rFonts w:hint="eastAsia" w:ascii="仿宋_GB2312" w:hAnsi="仿宋" w:eastAsia="仿宋_GB2312"/>
                <w:sz w:val="24"/>
                <w:szCs w:val="24"/>
              </w:rPr>
              <w:t>累计折旧</w:t>
            </w:r>
          </w:p>
        </w:tc>
        <w:tc>
          <w:tcPr>
            <w:tcW w:w="3402"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固定资产累计折旧</w:t>
            </w:r>
          </w:p>
        </w:tc>
        <w:tc>
          <w:tcPr>
            <w:tcW w:w="708" w:type="dxa"/>
            <w:vAlign w:val="center"/>
          </w:tcPr>
          <w:p>
            <w:pPr>
              <w:ind w:firstLine="528" w:firstLineChars="220"/>
              <w:rPr>
                <w:rFonts w:ascii="仿宋_GB2312" w:hAnsi="仿宋" w:eastAsia="仿宋_GB2312"/>
                <w:sz w:val="24"/>
                <w:szCs w:val="24"/>
              </w:rPr>
            </w:pPr>
          </w:p>
        </w:tc>
        <w:tc>
          <w:tcPr>
            <w:tcW w:w="2835" w:type="dxa"/>
          </w:tcPr>
          <w:p>
            <w:pPr>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ind w:firstLine="528" w:firstLineChars="220"/>
              <w:jc w:val="left"/>
              <w:rPr>
                <w:rFonts w:ascii="仿宋_GB2312" w:hAnsi="仿宋" w:eastAsia="仿宋_GB2312"/>
                <w:sz w:val="24"/>
                <w:szCs w:val="24"/>
              </w:rPr>
            </w:pPr>
          </w:p>
        </w:tc>
        <w:tc>
          <w:tcPr>
            <w:tcW w:w="3402"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受托代理固定资产累计折旧</w:t>
            </w:r>
          </w:p>
        </w:tc>
        <w:tc>
          <w:tcPr>
            <w:tcW w:w="708" w:type="dxa"/>
            <w:vAlign w:val="center"/>
          </w:tcPr>
          <w:p>
            <w:pPr>
              <w:ind w:firstLine="528" w:firstLineChars="220"/>
              <w:rPr>
                <w:rFonts w:ascii="仿宋_GB2312" w:hAnsi="仿宋" w:eastAsia="仿宋_GB2312"/>
                <w:sz w:val="24"/>
                <w:szCs w:val="24"/>
              </w:rPr>
            </w:pPr>
          </w:p>
        </w:tc>
        <w:tc>
          <w:tcPr>
            <w:tcW w:w="2835" w:type="dxa"/>
          </w:tcPr>
          <w:p>
            <w:pPr>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jc w:val="left"/>
              <w:rPr>
                <w:rFonts w:ascii="仿宋_GB2312" w:hAnsi="仿宋" w:eastAsia="仿宋_GB2312"/>
                <w:sz w:val="24"/>
                <w:szCs w:val="24"/>
              </w:rPr>
            </w:pPr>
            <w:r>
              <w:rPr>
                <w:rFonts w:hint="eastAsia" w:ascii="仿宋_GB2312" w:hAnsi="仿宋" w:eastAsia="仿宋_GB2312"/>
                <w:sz w:val="24"/>
                <w:szCs w:val="24"/>
              </w:rPr>
              <w:t>在建工程</w:t>
            </w:r>
          </w:p>
        </w:tc>
        <w:tc>
          <w:tcPr>
            <w:tcW w:w="3402" w:type="dxa"/>
            <w:vAlign w:val="center"/>
          </w:tcPr>
          <w:p>
            <w:pPr>
              <w:rPr>
                <w:rFonts w:ascii="仿宋_GB2312" w:hAnsi="仿宋" w:eastAsia="仿宋_GB2312"/>
                <w:sz w:val="24"/>
                <w:szCs w:val="24"/>
              </w:rPr>
            </w:pPr>
            <w:r>
              <w:rPr>
                <w:rFonts w:hint="eastAsia" w:ascii="仿宋_GB2312" w:hAnsi="仿宋" w:eastAsia="仿宋_GB2312"/>
                <w:sz w:val="24"/>
                <w:szCs w:val="24"/>
              </w:rPr>
              <w:t>在建工程</w:t>
            </w:r>
          </w:p>
        </w:tc>
        <w:tc>
          <w:tcPr>
            <w:tcW w:w="708" w:type="dxa"/>
            <w:vAlign w:val="center"/>
          </w:tcPr>
          <w:p>
            <w:pPr>
              <w:ind w:firstLine="528" w:firstLineChars="220"/>
              <w:rPr>
                <w:rFonts w:ascii="仿宋_GB2312" w:hAnsi="仿宋" w:eastAsia="仿宋_GB2312"/>
                <w:sz w:val="24"/>
                <w:szCs w:val="24"/>
              </w:rPr>
            </w:pPr>
          </w:p>
        </w:tc>
        <w:tc>
          <w:tcPr>
            <w:tcW w:w="2835" w:type="dxa"/>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ind w:firstLine="528" w:firstLineChars="220"/>
              <w:jc w:val="left"/>
              <w:rPr>
                <w:rFonts w:ascii="仿宋_GB2312" w:hAnsi="仿宋" w:eastAsia="仿宋_GB2312"/>
                <w:sz w:val="24"/>
                <w:szCs w:val="24"/>
              </w:rPr>
            </w:pPr>
          </w:p>
        </w:tc>
        <w:tc>
          <w:tcPr>
            <w:tcW w:w="3402" w:type="dxa"/>
            <w:vAlign w:val="center"/>
          </w:tcPr>
          <w:p>
            <w:pPr>
              <w:rPr>
                <w:rFonts w:ascii="仿宋_GB2312" w:hAnsi="仿宋" w:eastAsia="仿宋_GB2312"/>
                <w:sz w:val="24"/>
                <w:szCs w:val="24"/>
              </w:rPr>
            </w:pPr>
            <w:r>
              <w:rPr>
                <w:rFonts w:hint="eastAsia" w:ascii="仿宋_GB2312" w:hAnsi="仿宋" w:eastAsia="仿宋_GB2312"/>
                <w:sz w:val="24"/>
                <w:szCs w:val="24"/>
              </w:rPr>
              <w:t>工程物资</w:t>
            </w:r>
          </w:p>
        </w:tc>
        <w:tc>
          <w:tcPr>
            <w:tcW w:w="708" w:type="dxa"/>
            <w:vAlign w:val="center"/>
          </w:tcPr>
          <w:p>
            <w:pPr>
              <w:ind w:firstLine="528" w:firstLineChars="220"/>
              <w:rPr>
                <w:rFonts w:ascii="仿宋_GB2312" w:hAnsi="仿宋" w:eastAsia="仿宋_GB2312"/>
                <w:sz w:val="24"/>
                <w:szCs w:val="24"/>
              </w:rPr>
            </w:pPr>
          </w:p>
        </w:tc>
        <w:tc>
          <w:tcPr>
            <w:tcW w:w="2835" w:type="dxa"/>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ind w:firstLine="528" w:firstLineChars="220"/>
              <w:jc w:val="left"/>
              <w:rPr>
                <w:rFonts w:ascii="仿宋_GB2312" w:hAnsi="仿宋" w:eastAsia="仿宋_GB2312"/>
                <w:sz w:val="24"/>
                <w:szCs w:val="24"/>
              </w:rPr>
            </w:pPr>
          </w:p>
        </w:tc>
        <w:tc>
          <w:tcPr>
            <w:tcW w:w="3402" w:type="dxa"/>
            <w:vAlign w:val="center"/>
          </w:tcPr>
          <w:p>
            <w:pPr>
              <w:rPr>
                <w:rFonts w:ascii="仿宋_GB2312" w:hAnsi="仿宋" w:eastAsia="仿宋_GB2312"/>
                <w:sz w:val="24"/>
                <w:szCs w:val="24"/>
              </w:rPr>
            </w:pPr>
            <w:r>
              <w:rPr>
                <w:rFonts w:hint="eastAsia" w:ascii="仿宋_GB2312" w:hAnsi="Times New Roman" w:eastAsia="仿宋_GB2312" w:cs="Times New Roman"/>
                <w:sz w:val="24"/>
                <w:szCs w:val="24"/>
              </w:rPr>
              <w:t>预付工程款、预付备料款</w:t>
            </w:r>
          </w:p>
        </w:tc>
        <w:tc>
          <w:tcPr>
            <w:tcW w:w="708" w:type="dxa"/>
            <w:vAlign w:val="center"/>
          </w:tcPr>
          <w:p>
            <w:pPr>
              <w:ind w:firstLine="528" w:firstLineChars="220"/>
              <w:rPr>
                <w:rFonts w:ascii="仿宋_GB2312" w:hAnsi="仿宋" w:eastAsia="仿宋_GB2312"/>
                <w:sz w:val="24"/>
                <w:szCs w:val="24"/>
              </w:rPr>
            </w:pPr>
          </w:p>
        </w:tc>
        <w:tc>
          <w:tcPr>
            <w:tcW w:w="2835" w:type="dxa"/>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jc w:val="left"/>
              <w:rPr>
                <w:rFonts w:ascii="仿宋_GB2312" w:hAnsi="仿宋" w:eastAsia="仿宋_GB2312" w:cs="宋体"/>
                <w:sz w:val="24"/>
                <w:szCs w:val="24"/>
              </w:rPr>
            </w:pPr>
            <w:r>
              <w:rPr>
                <w:rFonts w:hint="eastAsia" w:ascii="仿宋_GB2312" w:hAnsi="仿宋" w:eastAsia="仿宋_GB2312" w:cs="宋体"/>
                <w:sz w:val="24"/>
                <w:szCs w:val="24"/>
              </w:rPr>
              <w:t>应缴税费</w:t>
            </w:r>
          </w:p>
        </w:tc>
        <w:tc>
          <w:tcPr>
            <w:tcW w:w="3402" w:type="dxa"/>
            <w:vAlign w:val="center"/>
          </w:tcPr>
          <w:p>
            <w:pPr>
              <w:rPr>
                <w:rFonts w:ascii="仿宋_GB2312" w:hAnsi="仿宋" w:eastAsia="仿宋_GB2312"/>
                <w:sz w:val="24"/>
                <w:szCs w:val="24"/>
              </w:rPr>
            </w:pPr>
            <w:r>
              <w:rPr>
                <w:rFonts w:hint="eastAsia" w:ascii="仿宋_GB2312" w:hAnsi="仿宋" w:eastAsia="仿宋_GB2312"/>
                <w:sz w:val="24"/>
                <w:szCs w:val="24"/>
              </w:rPr>
              <w:t>应缴增值税</w:t>
            </w:r>
          </w:p>
        </w:tc>
        <w:tc>
          <w:tcPr>
            <w:tcW w:w="708" w:type="dxa"/>
            <w:vAlign w:val="center"/>
          </w:tcPr>
          <w:p>
            <w:pPr>
              <w:ind w:firstLine="528" w:firstLineChars="220"/>
              <w:rPr>
                <w:rFonts w:ascii="仿宋_GB2312" w:hAnsi="仿宋" w:eastAsia="仿宋_GB2312"/>
                <w:sz w:val="24"/>
                <w:szCs w:val="24"/>
              </w:rPr>
            </w:pPr>
          </w:p>
        </w:tc>
        <w:tc>
          <w:tcPr>
            <w:tcW w:w="2835" w:type="dxa"/>
            <w:vAlign w:val="center"/>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ind w:firstLine="528" w:firstLineChars="220"/>
              <w:rPr>
                <w:rFonts w:ascii="仿宋_GB2312" w:hAnsi="仿宋" w:eastAsia="仿宋_GB2312"/>
                <w:sz w:val="24"/>
                <w:szCs w:val="24"/>
              </w:rPr>
            </w:pPr>
          </w:p>
        </w:tc>
        <w:tc>
          <w:tcPr>
            <w:tcW w:w="3402" w:type="dxa"/>
            <w:vAlign w:val="center"/>
          </w:tcPr>
          <w:p>
            <w:pPr>
              <w:rPr>
                <w:rFonts w:ascii="仿宋_GB2312" w:hAnsi="仿宋" w:eastAsia="仿宋_GB2312"/>
                <w:sz w:val="24"/>
                <w:szCs w:val="24"/>
              </w:rPr>
            </w:pPr>
            <w:r>
              <w:rPr>
                <w:rFonts w:hint="eastAsia" w:ascii="仿宋_GB2312" w:hAnsi="仿宋" w:eastAsia="仿宋_GB2312"/>
                <w:sz w:val="24"/>
                <w:szCs w:val="24"/>
              </w:rPr>
              <w:t>其他应缴税费</w:t>
            </w:r>
          </w:p>
        </w:tc>
        <w:tc>
          <w:tcPr>
            <w:tcW w:w="708" w:type="dxa"/>
            <w:vAlign w:val="center"/>
          </w:tcPr>
          <w:p>
            <w:pPr>
              <w:ind w:firstLine="528" w:firstLineChars="220"/>
              <w:rPr>
                <w:rFonts w:ascii="仿宋_GB2312" w:hAnsi="仿宋" w:eastAsia="仿宋_GB2312"/>
                <w:sz w:val="24"/>
                <w:szCs w:val="24"/>
              </w:rPr>
            </w:pPr>
          </w:p>
        </w:tc>
        <w:tc>
          <w:tcPr>
            <w:tcW w:w="2835" w:type="dxa"/>
            <w:vAlign w:val="center"/>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其他应付款</w:t>
            </w:r>
          </w:p>
        </w:tc>
        <w:tc>
          <w:tcPr>
            <w:tcW w:w="3402" w:type="dxa"/>
            <w:vAlign w:val="center"/>
          </w:tcPr>
          <w:p>
            <w:pPr>
              <w:rPr>
                <w:rFonts w:ascii="仿宋_GB2312" w:hAnsi="仿宋" w:eastAsia="仿宋_GB2312"/>
                <w:sz w:val="24"/>
                <w:szCs w:val="24"/>
              </w:rPr>
            </w:pPr>
            <w:r>
              <w:rPr>
                <w:rFonts w:hint="eastAsia" w:ascii="仿宋_GB2312" w:hAnsi="仿宋" w:eastAsia="仿宋_GB2312"/>
                <w:sz w:val="24"/>
                <w:szCs w:val="24"/>
              </w:rPr>
              <w:t>其他应付款</w:t>
            </w:r>
          </w:p>
        </w:tc>
        <w:tc>
          <w:tcPr>
            <w:tcW w:w="708" w:type="dxa"/>
            <w:vAlign w:val="center"/>
          </w:tcPr>
          <w:p>
            <w:pPr>
              <w:ind w:firstLine="528" w:firstLineChars="220"/>
              <w:rPr>
                <w:rFonts w:ascii="仿宋_GB2312" w:hAnsi="仿宋" w:eastAsia="仿宋_GB2312"/>
                <w:sz w:val="24"/>
                <w:szCs w:val="24"/>
              </w:rPr>
            </w:pPr>
          </w:p>
        </w:tc>
        <w:tc>
          <w:tcPr>
            <w:tcW w:w="2835" w:type="dxa"/>
            <w:vAlign w:val="center"/>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ind w:firstLine="528" w:firstLineChars="220"/>
              <w:rPr>
                <w:rFonts w:ascii="仿宋_GB2312" w:hAnsi="仿宋" w:eastAsia="仿宋_GB2312"/>
                <w:sz w:val="24"/>
                <w:szCs w:val="24"/>
              </w:rPr>
            </w:pPr>
          </w:p>
        </w:tc>
        <w:tc>
          <w:tcPr>
            <w:tcW w:w="3402" w:type="dxa"/>
            <w:vAlign w:val="center"/>
          </w:tcPr>
          <w:p>
            <w:pPr>
              <w:rPr>
                <w:rFonts w:ascii="仿宋_GB2312" w:hAnsi="仿宋" w:eastAsia="仿宋_GB2312"/>
                <w:sz w:val="24"/>
                <w:szCs w:val="24"/>
              </w:rPr>
            </w:pPr>
            <w:r>
              <w:rPr>
                <w:rFonts w:hint="eastAsia" w:ascii="仿宋_GB2312" w:hAnsi="仿宋" w:eastAsia="仿宋_GB2312"/>
                <w:sz w:val="24"/>
                <w:szCs w:val="24"/>
              </w:rPr>
              <w:t>受托代理负债</w:t>
            </w:r>
          </w:p>
        </w:tc>
        <w:tc>
          <w:tcPr>
            <w:tcW w:w="708" w:type="dxa"/>
            <w:vAlign w:val="center"/>
          </w:tcPr>
          <w:p>
            <w:pPr>
              <w:ind w:firstLine="528" w:firstLineChars="220"/>
              <w:rPr>
                <w:rFonts w:ascii="仿宋_GB2312" w:hAnsi="仿宋" w:eastAsia="仿宋_GB2312"/>
                <w:sz w:val="24"/>
                <w:szCs w:val="24"/>
              </w:rPr>
            </w:pPr>
          </w:p>
        </w:tc>
        <w:tc>
          <w:tcPr>
            <w:tcW w:w="2835" w:type="dxa"/>
            <w:vAlign w:val="center"/>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代管款项</w:t>
            </w:r>
          </w:p>
        </w:tc>
        <w:tc>
          <w:tcPr>
            <w:tcW w:w="3402" w:type="dxa"/>
            <w:vAlign w:val="center"/>
          </w:tcPr>
          <w:p>
            <w:pPr>
              <w:rPr>
                <w:rFonts w:ascii="仿宋_GB2312" w:hAnsi="仿宋" w:eastAsia="仿宋_GB2312"/>
                <w:sz w:val="24"/>
                <w:szCs w:val="24"/>
              </w:rPr>
            </w:pPr>
            <w:r>
              <w:rPr>
                <w:rFonts w:hint="eastAsia" w:ascii="仿宋_GB2312" w:hAnsi="仿宋" w:eastAsia="仿宋_GB2312"/>
                <w:sz w:val="24"/>
                <w:szCs w:val="24"/>
              </w:rPr>
              <w:t>受托代理负债</w:t>
            </w:r>
          </w:p>
        </w:tc>
        <w:tc>
          <w:tcPr>
            <w:tcW w:w="708" w:type="dxa"/>
            <w:vAlign w:val="center"/>
          </w:tcPr>
          <w:p>
            <w:pPr>
              <w:ind w:firstLine="528" w:firstLineChars="220"/>
              <w:rPr>
                <w:rFonts w:ascii="仿宋_GB2312" w:hAnsi="仿宋" w:eastAsia="仿宋_GB2312"/>
                <w:sz w:val="24"/>
                <w:szCs w:val="24"/>
              </w:rPr>
            </w:pPr>
          </w:p>
        </w:tc>
        <w:tc>
          <w:tcPr>
            <w:tcW w:w="2835" w:type="dxa"/>
            <w:vAlign w:val="center"/>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sz w:val="24"/>
                <w:szCs w:val="24"/>
              </w:rPr>
            </w:pPr>
          </w:p>
        </w:tc>
        <w:tc>
          <w:tcPr>
            <w:tcW w:w="3402" w:type="dxa"/>
            <w:vAlign w:val="center"/>
          </w:tcPr>
          <w:p>
            <w:pPr>
              <w:rPr>
                <w:rFonts w:ascii="仿宋_GB2312" w:hAnsi="仿宋" w:eastAsia="仿宋_GB2312"/>
                <w:sz w:val="24"/>
                <w:szCs w:val="24"/>
              </w:rPr>
            </w:pPr>
            <w:r>
              <w:rPr>
                <w:rFonts w:hint="eastAsia" w:ascii="仿宋_GB2312" w:hAnsi="仿宋" w:eastAsia="仿宋_GB2312"/>
                <w:sz w:val="24"/>
                <w:szCs w:val="24"/>
              </w:rPr>
              <w:t>其他应付款</w:t>
            </w:r>
          </w:p>
        </w:tc>
        <w:tc>
          <w:tcPr>
            <w:tcW w:w="708" w:type="dxa"/>
            <w:vAlign w:val="center"/>
          </w:tcPr>
          <w:p>
            <w:pPr>
              <w:ind w:firstLine="528" w:firstLineChars="220"/>
              <w:rPr>
                <w:rFonts w:ascii="仿宋_GB2312" w:hAnsi="仿宋" w:eastAsia="仿宋_GB2312"/>
                <w:sz w:val="24"/>
                <w:szCs w:val="24"/>
              </w:rPr>
            </w:pPr>
          </w:p>
        </w:tc>
        <w:tc>
          <w:tcPr>
            <w:tcW w:w="2835" w:type="dxa"/>
            <w:vAlign w:val="center"/>
          </w:tcPr>
          <w:p>
            <w:pPr>
              <w:ind w:firstLine="528" w:firstLineChars="220"/>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ind w:firstLine="528" w:firstLineChars="220"/>
              <w:rPr>
                <w:rFonts w:ascii="仿宋_GB2312" w:hAnsi="仿宋" w:eastAsia="仿宋_GB2312"/>
                <w:sz w:val="24"/>
                <w:szCs w:val="24"/>
              </w:rPr>
            </w:pPr>
          </w:p>
        </w:tc>
        <w:tc>
          <w:tcPr>
            <w:tcW w:w="3402" w:type="dxa"/>
            <w:vAlign w:val="center"/>
          </w:tcPr>
          <w:p>
            <w:pPr>
              <w:rPr>
                <w:rFonts w:ascii="仿宋_GB2312" w:hAnsi="仿宋" w:eastAsia="仿宋_GB2312"/>
                <w:sz w:val="24"/>
                <w:szCs w:val="24"/>
              </w:rPr>
            </w:pPr>
            <w:r>
              <w:rPr>
                <w:rFonts w:hint="eastAsia" w:ascii="仿宋_GB2312" w:hAnsi="仿宋" w:eastAsia="仿宋_GB2312"/>
                <w:sz w:val="24"/>
                <w:szCs w:val="24"/>
              </w:rPr>
              <w:t>长期应付款</w:t>
            </w:r>
          </w:p>
        </w:tc>
        <w:tc>
          <w:tcPr>
            <w:tcW w:w="708" w:type="dxa"/>
            <w:vAlign w:val="center"/>
          </w:tcPr>
          <w:p>
            <w:pPr>
              <w:ind w:firstLine="528" w:firstLineChars="220"/>
              <w:rPr>
                <w:rFonts w:ascii="仿宋_GB2312" w:hAnsi="仿宋" w:eastAsia="仿宋_GB2312"/>
                <w:sz w:val="24"/>
                <w:szCs w:val="24"/>
              </w:rPr>
            </w:pPr>
          </w:p>
        </w:tc>
        <w:tc>
          <w:tcPr>
            <w:tcW w:w="2835" w:type="dxa"/>
            <w:vAlign w:val="center"/>
          </w:tcPr>
          <w:p>
            <w:pPr>
              <w:ind w:firstLine="528" w:firstLineChars="220"/>
              <w:rPr>
                <w:rFonts w:ascii="仿宋_GB2312" w:hAnsi="仿宋" w:eastAsia="仿宋_GB2312"/>
                <w:sz w:val="24"/>
                <w:szCs w:val="24"/>
              </w:rPr>
            </w:pPr>
          </w:p>
        </w:tc>
      </w:tr>
    </w:tbl>
    <w:p>
      <w:pPr>
        <w:ind w:firstLine="707" w:firstLineChars="220"/>
        <w:jc w:val="center"/>
        <w:rPr>
          <w:rFonts w:ascii="仿宋" w:hAnsi="仿宋" w:eastAsia="仿宋"/>
          <w:b/>
          <w:sz w:val="32"/>
          <w:szCs w:val="32"/>
        </w:rPr>
      </w:pPr>
    </w:p>
    <w:p>
      <w:pPr>
        <w:widowControl/>
        <w:ind w:firstLine="707" w:firstLineChars="220"/>
        <w:jc w:val="left"/>
        <w:rPr>
          <w:rFonts w:ascii="仿宋" w:hAnsi="仿宋" w:eastAsia="仿宋"/>
          <w:b/>
          <w:sz w:val="32"/>
          <w:szCs w:val="32"/>
        </w:rPr>
      </w:pPr>
      <w:r>
        <w:rPr>
          <w:rFonts w:ascii="仿宋" w:hAnsi="仿宋" w:eastAsia="仿宋"/>
          <w:b/>
          <w:sz w:val="32"/>
          <w:szCs w:val="32"/>
        </w:rPr>
        <w:br w:type="page"/>
      </w:r>
    </w:p>
    <w:p>
      <w:pPr>
        <w:widowControl/>
        <w:jc w:val="left"/>
        <w:rPr>
          <w:rFonts w:ascii="仿宋" w:hAnsi="仿宋" w:eastAsia="仿宋" w:cs="Times New Roman"/>
          <w:sz w:val="32"/>
          <w:szCs w:val="32"/>
        </w:rPr>
      </w:pPr>
      <w:r>
        <w:rPr>
          <w:rFonts w:hint="eastAsia" w:ascii="仿宋" w:hAnsi="仿宋" w:eastAsia="仿宋" w:cs="宋体"/>
          <w:sz w:val="32"/>
          <w:szCs w:val="32"/>
        </w:rPr>
        <w:t>附表2：</w:t>
      </w:r>
    </w:p>
    <w:p>
      <w:pPr>
        <w:jc w:val="center"/>
        <w:rPr>
          <w:rFonts w:ascii="仿宋" w:hAnsi="仿宋" w:eastAsia="仿宋"/>
          <w:b/>
          <w:sz w:val="32"/>
          <w:szCs w:val="32"/>
        </w:rPr>
      </w:pPr>
      <w:r>
        <w:rPr>
          <w:rFonts w:hint="eastAsia" w:ascii="仿宋" w:hAnsi="仿宋" w:eastAsia="仿宋"/>
          <w:b/>
          <w:sz w:val="32"/>
          <w:szCs w:val="32"/>
        </w:rPr>
        <w:t>高等学校原会计科目余额明细表二</w:t>
      </w:r>
    </w:p>
    <w:tbl>
      <w:tblPr>
        <w:tblStyle w:val="14"/>
        <w:tblW w:w="861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252"/>
        <w:gridCol w:w="709"/>
        <w:gridCol w:w="198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jc w:val="center"/>
              <w:rPr>
                <w:rFonts w:ascii="仿宋_GB2312" w:hAnsi="仿宋" w:eastAsia="仿宋_GB2312"/>
                <w:sz w:val="24"/>
                <w:szCs w:val="24"/>
              </w:rPr>
            </w:pPr>
            <w:r>
              <w:rPr>
                <w:rFonts w:hint="eastAsia" w:ascii="仿宋_GB2312" w:hAnsi="仿宋" w:eastAsia="仿宋_GB2312"/>
                <w:sz w:val="24"/>
                <w:szCs w:val="24"/>
              </w:rPr>
              <w:t>总账科目</w:t>
            </w:r>
          </w:p>
        </w:tc>
        <w:tc>
          <w:tcPr>
            <w:tcW w:w="4252" w:type="dxa"/>
            <w:vAlign w:val="center"/>
          </w:tcPr>
          <w:p>
            <w:pPr>
              <w:jc w:val="center"/>
              <w:rPr>
                <w:rFonts w:ascii="仿宋_GB2312" w:hAnsi="仿宋" w:eastAsia="仿宋_GB2312"/>
                <w:sz w:val="24"/>
                <w:szCs w:val="24"/>
              </w:rPr>
            </w:pPr>
            <w:r>
              <w:rPr>
                <w:rFonts w:hint="eastAsia" w:ascii="仿宋_GB2312" w:hAnsi="仿宋" w:eastAsia="仿宋_GB2312"/>
                <w:sz w:val="24"/>
                <w:szCs w:val="24"/>
              </w:rPr>
              <w:t>明细分类</w:t>
            </w:r>
          </w:p>
        </w:tc>
        <w:tc>
          <w:tcPr>
            <w:tcW w:w="709" w:type="dxa"/>
            <w:vAlign w:val="center"/>
          </w:tcPr>
          <w:p>
            <w:pPr>
              <w:jc w:val="center"/>
              <w:rPr>
                <w:rFonts w:ascii="仿宋_GB2312" w:hAnsi="仿宋" w:eastAsia="仿宋_GB2312"/>
                <w:sz w:val="24"/>
                <w:szCs w:val="24"/>
              </w:rPr>
            </w:pPr>
            <w:r>
              <w:rPr>
                <w:rFonts w:hint="eastAsia" w:ascii="仿宋_GB2312" w:hAnsi="仿宋" w:eastAsia="仿宋_GB2312"/>
                <w:sz w:val="24"/>
                <w:szCs w:val="24"/>
              </w:rPr>
              <w:t>金额</w:t>
            </w:r>
          </w:p>
        </w:tc>
        <w:tc>
          <w:tcPr>
            <w:tcW w:w="1984" w:type="dxa"/>
            <w:vAlign w:val="center"/>
          </w:tcPr>
          <w:p>
            <w:pPr>
              <w:jc w:val="center"/>
              <w:rPr>
                <w:rFonts w:ascii="仿宋_GB2312" w:hAnsi="仿宋" w:eastAsia="仿宋_GB2312"/>
                <w:sz w:val="24"/>
                <w:szCs w:val="24"/>
              </w:rPr>
            </w:pPr>
            <w:r>
              <w:rPr>
                <w:rFonts w:hint="eastAsia" w:ascii="仿宋_GB2312" w:hAnsi="仿宋" w:eastAsia="仿宋_GB2312"/>
                <w:sz w:val="24"/>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668" w:type="dxa"/>
            <w:vMerge w:val="restart"/>
            <w:vAlign w:val="center"/>
          </w:tcPr>
          <w:p>
            <w:pPr>
              <w:rPr>
                <w:rFonts w:ascii="仿宋_GB2312" w:hAnsi="仿宋" w:eastAsia="仿宋_GB2312" w:cs="宋体"/>
                <w:sz w:val="24"/>
                <w:szCs w:val="24"/>
              </w:rPr>
            </w:pPr>
            <w:r>
              <w:rPr>
                <w:rFonts w:hint="eastAsia" w:ascii="仿宋_GB2312" w:hAnsi="仿宋" w:eastAsia="仿宋_GB2312" w:cs="宋体"/>
                <w:sz w:val="24"/>
                <w:szCs w:val="24"/>
              </w:rPr>
              <w:t>应收票据、应收账款</w:t>
            </w:r>
          </w:p>
        </w:tc>
        <w:tc>
          <w:tcPr>
            <w:tcW w:w="4252" w:type="dxa"/>
            <w:vAlign w:val="center"/>
          </w:tcPr>
          <w:p>
            <w:pPr>
              <w:rPr>
                <w:rFonts w:ascii="仿宋_GB2312" w:hAnsi="仿宋" w:eastAsia="仿宋_GB2312" w:cs="宋体"/>
                <w:sz w:val="24"/>
                <w:szCs w:val="24"/>
              </w:rPr>
            </w:pPr>
            <w:r>
              <w:rPr>
                <w:rFonts w:hint="eastAsia" w:ascii="仿宋_GB2312" w:hAnsi="仿宋" w:eastAsia="仿宋_GB2312" w:cs="宋体"/>
                <w:sz w:val="24"/>
                <w:szCs w:val="24"/>
              </w:rPr>
              <w:t>发生时不计入收入</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r>
              <w:rPr>
                <w:rFonts w:hint="eastAsia" w:ascii="仿宋_GB2312" w:hAnsi="仿宋" w:eastAsia="仿宋_GB2312"/>
              </w:rPr>
              <w:t>如转让资产的应收票据、应收账款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cs="宋体"/>
                <w:sz w:val="24"/>
                <w:szCs w:val="24"/>
              </w:rPr>
            </w:pPr>
          </w:p>
        </w:tc>
        <w:tc>
          <w:tcPr>
            <w:tcW w:w="4252" w:type="dxa"/>
            <w:vAlign w:val="center"/>
          </w:tcPr>
          <w:p>
            <w:pPr>
              <w:rPr>
                <w:rFonts w:ascii="仿宋_GB2312" w:hAnsi="仿宋" w:eastAsia="仿宋_GB2312" w:cs="宋体"/>
                <w:sz w:val="24"/>
                <w:szCs w:val="24"/>
              </w:rPr>
            </w:pPr>
            <w:r>
              <w:rPr>
                <w:rFonts w:hint="eastAsia" w:ascii="仿宋_GB2312" w:hAnsi="仿宋" w:eastAsia="仿宋_GB2312" w:cs="宋体"/>
                <w:sz w:val="24"/>
                <w:szCs w:val="24"/>
              </w:rPr>
              <w:t>发生时计入收入</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cs="宋体"/>
                <w:sz w:val="24"/>
                <w:szCs w:val="24"/>
              </w:rPr>
            </w:pPr>
          </w:p>
        </w:tc>
        <w:tc>
          <w:tcPr>
            <w:tcW w:w="4252" w:type="dxa"/>
            <w:vAlign w:val="center"/>
          </w:tcPr>
          <w:p>
            <w:pPr>
              <w:rPr>
                <w:rFonts w:ascii="仿宋_GB2312" w:hAnsi="仿宋" w:eastAsia="仿宋_GB2312" w:cs="宋体"/>
                <w:sz w:val="24"/>
                <w:szCs w:val="24"/>
              </w:rPr>
            </w:pPr>
            <w:r>
              <w:rPr>
                <w:rFonts w:hint="eastAsia" w:ascii="仿宋_GB2312" w:hAnsi="仿宋" w:eastAsia="仿宋_GB2312" w:cs="宋体"/>
                <w:sz w:val="24"/>
                <w:szCs w:val="24"/>
              </w:rPr>
              <w:t>其中：专项收入</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cs="宋体"/>
                <w:sz w:val="24"/>
                <w:szCs w:val="24"/>
              </w:rPr>
            </w:pPr>
          </w:p>
        </w:tc>
        <w:tc>
          <w:tcPr>
            <w:tcW w:w="4252" w:type="dxa"/>
            <w:vAlign w:val="center"/>
          </w:tcPr>
          <w:p>
            <w:pPr>
              <w:rPr>
                <w:rFonts w:ascii="仿宋_GB2312" w:hAnsi="仿宋" w:eastAsia="仿宋_GB2312" w:cs="宋体"/>
                <w:sz w:val="24"/>
                <w:szCs w:val="24"/>
              </w:rPr>
            </w:pPr>
            <w:r>
              <w:rPr>
                <w:rFonts w:ascii="仿宋_GB2312" w:hAnsi="仿宋" w:eastAsia="仿宋_GB2312" w:cs="宋体"/>
                <w:sz w:val="24"/>
                <w:szCs w:val="24"/>
              </w:rPr>
              <w:t xml:space="preserve">      其他</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_GB2312" w:hAnsi="仿宋" w:eastAsia="仿宋_GB2312" w:cs="宋体"/>
                <w:sz w:val="24"/>
                <w:szCs w:val="24"/>
              </w:rPr>
            </w:pPr>
            <w:r>
              <w:rPr>
                <w:rFonts w:hint="eastAsia" w:ascii="仿宋_GB2312" w:hAnsi="仿宋" w:eastAsia="仿宋_GB2312" w:cs="宋体"/>
                <w:sz w:val="24"/>
                <w:szCs w:val="24"/>
              </w:rPr>
              <w:t>预付账款</w:t>
            </w:r>
            <w:r>
              <w:rPr>
                <w:rFonts w:hint="eastAsia" w:ascii="仿宋_GB2312" w:hAnsi="仿宋" w:eastAsia="仿宋_GB2312"/>
                <w:sz w:val="24"/>
                <w:szCs w:val="24"/>
              </w:rPr>
              <w:t>（扣除属于受托代理资产的预付款）</w:t>
            </w: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财政补助资金预付</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cs="宋体"/>
                <w:sz w:val="24"/>
                <w:szCs w:val="24"/>
              </w:rPr>
            </w:pP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非财政补助专项资金预付</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668" w:type="dxa"/>
            <w:vMerge w:val="continue"/>
            <w:vAlign w:val="center"/>
          </w:tcPr>
          <w:p>
            <w:pPr>
              <w:rPr>
                <w:rFonts w:ascii="仿宋_GB2312" w:hAnsi="仿宋" w:eastAsia="仿宋_GB2312" w:cs="宋体"/>
                <w:sz w:val="24"/>
                <w:szCs w:val="24"/>
              </w:rPr>
            </w:pP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非财政补助非专项资金预付</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_GB2312" w:hAnsi="仿宋" w:eastAsia="仿宋_GB2312" w:cs="宋体"/>
                <w:sz w:val="24"/>
                <w:szCs w:val="24"/>
              </w:rPr>
            </w:pPr>
            <w:r>
              <w:rPr>
                <w:rFonts w:hint="eastAsia" w:ascii="仿宋_GB2312" w:hAnsi="仿宋" w:eastAsia="仿宋_GB2312"/>
                <w:sz w:val="24"/>
                <w:szCs w:val="24"/>
              </w:rPr>
              <w:t>其他应收款（扣除属于受托代理资产的应收款）</w:t>
            </w: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预付款项</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r>
              <w:rPr>
                <w:rFonts w:hint="eastAsia" w:ascii="仿宋_GB2312" w:hAnsi="仿宋" w:eastAsia="仿宋_GB2312"/>
              </w:rPr>
              <w:t>如职工预借的差旅费等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cs="宋体"/>
                <w:sz w:val="24"/>
                <w:szCs w:val="24"/>
              </w:rPr>
            </w:pP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其中：财政补助资金预付</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cs="宋体"/>
                <w:sz w:val="24"/>
                <w:szCs w:val="24"/>
              </w:rPr>
            </w:pPr>
          </w:p>
        </w:tc>
        <w:tc>
          <w:tcPr>
            <w:tcW w:w="4252" w:type="dxa"/>
            <w:vAlign w:val="center"/>
          </w:tcPr>
          <w:p>
            <w:pPr>
              <w:ind w:firstLine="720" w:firstLineChars="300"/>
              <w:rPr>
                <w:rFonts w:ascii="仿宋_GB2312" w:hAnsi="仿宋" w:eastAsia="仿宋_GB2312"/>
                <w:sz w:val="24"/>
                <w:szCs w:val="24"/>
              </w:rPr>
            </w:pPr>
            <w:r>
              <w:rPr>
                <w:rFonts w:hint="eastAsia" w:ascii="仿宋_GB2312" w:hAnsi="仿宋" w:eastAsia="仿宋_GB2312"/>
                <w:sz w:val="24"/>
                <w:szCs w:val="24"/>
              </w:rPr>
              <w:t>非财政补助专项资金预付</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cs="宋体"/>
                <w:sz w:val="24"/>
                <w:szCs w:val="24"/>
              </w:rPr>
            </w:pPr>
          </w:p>
        </w:tc>
        <w:tc>
          <w:tcPr>
            <w:tcW w:w="4252" w:type="dxa"/>
            <w:vAlign w:val="center"/>
          </w:tcPr>
          <w:p>
            <w:pPr>
              <w:ind w:firstLine="720" w:firstLineChars="300"/>
              <w:rPr>
                <w:rFonts w:ascii="仿宋_GB2312" w:hAnsi="仿宋" w:eastAsia="仿宋_GB2312"/>
                <w:sz w:val="24"/>
                <w:szCs w:val="24"/>
              </w:rPr>
            </w:pPr>
            <w:r>
              <w:rPr>
                <w:rFonts w:hint="eastAsia" w:ascii="仿宋_GB2312" w:hAnsi="仿宋" w:eastAsia="仿宋_GB2312"/>
                <w:sz w:val="24"/>
                <w:szCs w:val="24"/>
              </w:rPr>
              <w:t>非财政补助非专项资金预付</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cs="宋体"/>
                <w:sz w:val="24"/>
                <w:szCs w:val="24"/>
              </w:rPr>
            </w:pPr>
          </w:p>
        </w:tc>
        <w:tc>
          <w:tcPr>
            <w:tcW w:w="4252" w:type="dxa"/>
            <w:vAlign w:val="center"/>
          </w:tcPr>
          <w:p>
            <w:pPr>
              <w:ind w:firstLine="720" w:firstLineChars="300"/>
              <w:rPr>
                <w:rFonts w:ascii="仿宋_GB2312" w:hAnsi="仿宋" w:eastAsia="仿宋_GB2312"/>
                <w:sz w:val="24"/>
                <w:szCs w:val="24"/>
              </w:rPr>
            </w:pPr>
            <w:r>
              <w:rPr>
                <w:rFonts w:hint="eastAsia" w:ascii="仿宋_GB2312" w:hAnsi="仿宋" w:eastAsia="仿宋_GB2312"/>
                <w:sz w:val="24"/>
                <w:szCs w:val="24"/>
              </w:rPr>
              <w:t>需要收回及其他</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r>
              <w:rPr>
                <w:rFonts w:hint="eastAsia" w:ascii="仿宋_GB2312" w:hAnsi="仿宋" w:eastAsia="仿宋_GB2312"/>
              </w:rPr>
              <w:t>如支付的押金、应收为职工垫付的款项等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存货（扣除属于受托代理资产的存货）</w:t>
            </w: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购入存货</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_GB2312" w:hAnsi="仿宋" w:eastAsia="仿宋_GB2312"/>
                <w:sz w:val="24"/>
                <w:szCs w:val="24"/>
              </w:rPr>
            </w:pP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其中：使用财政补助资金购入</w:t>
            </w:r>
            <w:r>
              <w:rPr>
                <w:rFonts w:ascii="仿宋_GB2312" w:hAnsi="仿宋" w:eastAsia="仿宋_GB2312"/>
                <w:sz w:val="24"/>
                <w:szCs w:val="24"/>
              </w:rPr>
              <w:t xml:space="preserve">     </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_GB2312" w:hAnsi="仿宋" w:eastAsia="仿宋_GB2312"/>
                <w:sz w:val="24"/>
                <w:szCs w:val="24"/>
              </w:rPr>
            </w:pPr>
          </w:p>
        </w:tc>
        <w:tc>
          <w:tcPr>
            <w:tcW w:w="4252" w:type="dxa"/>
            <w:vAlign w:val="center"/>
          </w:tcPr>
          <w:p>
            <w:pPr>
              <w:ind w:firstLine="600" w:firstLineChars="250"/>
              <w:rPr>
                <w:rFonts w:ascii="仿宋_GB2312" w:hAnsi="仿宋" w:eastAsia="仿宋_GB2312"/>
                <w:sz w:val="24"/>
                <w:szCs w:val="24"/>
              </w:rPr>
            </w:pPr>
            <w:r>
              <w:rPr>
                <w:rFonts w:hint="eastAsia" w:ascii="仿宋_GB2312" w:hAnsi="仿宋" w:eastAsia="仿宋_GB2312"/>
                <w:sz w:val="24"/>
                <w:szCs w:val="24"/>
              </w:rPr>
              <w:t>使用非财政补助专项资金购入</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_GB2312" w:hAnsi="仿宋" w:eastAsia="仿宋_GB2312"/>
                <w:sz w:val="24"/>
                <w:szCs w:val="24"/>
              </w:rPr>
            </w:pPr>
          </w:p>
        </w:tc>
        <w:tc>
          <w:tcPr>
            <w:tcW w:w="4252" w:type="dxa"/>
            <w:vAlign w:val="center"/>
          </w:tcPr>
          <w:p>
            <w:pPr>
              <w:ind w:firstLine="600" w:firstLineChars="250"/>
              <w:rPr>
                <w:rFonts w:ascii="仿宋_GB2312" w:hAnsi="仿宋" w:eastAsia="仿宋_GB2312"/>
                <w:sz w:val="24"/>
                <w:szCs w:val="24"/>
              </w:rPr>
            </w:pPr>
            <w:r>
              <w:rPr>
                <w:rFonts w:hint="eastAsia" w:ascii="仿宋_GB2312" w:hAnsi="仿宋" w:eastAsia="仿宋_GB2312"/>
                <w:sz w:val="24"/>
                <w:szCs w:val="24"/>
              </w:rPr>
              <w:t>使用非财政补助非专项资金购入</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_GB2312" w:hAnsi="仿宋" w:eastAsia="仿宋_GB2312"/>
                <w:sz w:val="24"/>
                <w:szCs w:val="24"/>
              </w:rPr>
            </w:pP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非购入存货</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r>
              <w:rPr>
                <w:rFonts w:hint="eastAsia" w:ascii="仿宋_GB2312" w:hAnsi="仿宋" w:eastAsia="仿宋_GB2312"/>
              </w:rPr>
              <w:t>如无偿调入、接受捐赠的存货等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长期投资（扣除对非企业法人股权投资）</w:t>
            </w: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长期股权投资</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_GB2312" w:hAnsi="仿宋" w:eastAsia="仿宋_GB2312"/>
                <w:sz w:val="24"/>
                <w:szCs w:val="24"/>
              </w:rPr>
            </w:pP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其中：用现金资产取得</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_GB2312" w:hAnsi="仿宋" w:eastAsia="仿宋_GB2312"/>
                <w:sz w:val="24"/>
                <w:szCs w:val="24"/>
              </w:rPr>
            </w:pPr>
          </w:p>
        </w:tc>
        <w:tc>
          <w:tcPr>
            <w:tcW w:w="4252" w:type="dxa"/>
            <w:vAlign w:val="center"/>
          </w:tcPr>
          <w:p>
            <w:pPr>
              <w:rPr>
                <w:rFonts w:ascii="仿宋_GB2312" w:hAnsi="仿宋" w:eastAsia="仿宋_GB2312"/>
                <w:sz w:val="24"/>
                <w:szCs w:val="24"/>
              </w:rPr>
            </w:pPr>
            <w:r>
              <w:rPr>
                <w:rFonts w:ascii="仿宋_GB2312" w:hAnsi="仿宋" w:eastAsia="仿宋_GB2312"/>
                <w:sz w:val="24"/>
                <w:szCs w:val="24"/>
              </w:rPr>
              <w:t xml:space="preserve">      用非现金资产或其他方式取得</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_GB2312" w:hAnsi="仿宋" w:eastAsia="仿宋_GB2312"/>
                <w:sz w:val="24"/>
                <w:szCs w:val="24"/>
              </w:rPr>
            </w:pP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长期债券投资</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668"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应付票据、应付账款</w:t>
            </w: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发生时不计入支出</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sz w:val="24"/>
                <w:szCs w:val="24"/>
              </w:rPr>
            </w:pP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发生时计入支出</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sz w:val="24"/>
                <w:szCs w:val="24"/>
              </w:rPr>
            </w:pP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其中：财政补助资金应付</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sz w:val="24"/>
                <w:szCs w:val="24"/>
              </w:rPr>
            </w:pPr>
          </w:p>
        </w:tc>
        <w:tc>
          <w:tcPr>
            <w:tcW w:w="4252" w:type="dxa"/>
            <w:vAlign w:val="center"/>
          </w:tcPr>
          <w:p>
            <w:pPr>
              <w:ind w:firstLine="720" w:firstLineChars="300"/>
              <w:rPr>
                <w:rFonts w:ascii="仿宋_GB2312" w:hAnsi="仿宋" w:eastAsia="仿宋_GB2312"/>
                <w:sz w:val="24"/>
                <w:szCs w:val="24"/>
              </w:rPr>
            </w:pPr>
            <w:r>
              <w:rPr>
                <w:rFonts w:hint="eastAsia" w:ascii="仿宋_GB2312" w:hAnsi="仿宋" w:eastAsia="仿宋_GB2312"/>
                <w:sz w:val="24"/>
                <w:szCs w:val="24"/>
              </w:rPr>
              <w:t>非财政补助专项资金应付</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sz w:val="24"/>
                <w:szCs w:val="24"/>
              </w:rPr>
            </w:pPr>
          </w:p>
        </w:tc>
        <w:tc>
          <w:tcPr>
            <w:tcW w:w="4252" w:type="dxa"/>
            <w:vAlign w:val="center"/>
          </w:tcPr>
          <w:p>
            <w:pPr>
              <w:ind w:firstLine="720" w:firstLineChars="300"/>
              <w:rPr>
                <w:rFonts w:ascii="仿宋_GB2312" w:hAnsi="仿宋" w:eastAsia="仿宋_GB2312"/>
                <w:sz w:val="24"/>
                <w:szCs w:val="24"/>
              </w:rPr>
            </w:pPr>
            <w:r>
              <w:rPr>
                <w:rFonts w:hint="eastAsia" w:ascii="仿宋_GB2312" w:hAnsi="仿宋" w:eastAsia="仿宋_GB2312"/>
                <w:sz w:val="24"/>
                <w:szCs w:val="24"/>
              </w:rPr>
              <w:t>非财政补助非专项资金应付</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预收账款</w:t>
            </w:r>
            <w:r>
              <w:rPr>
                <w:rFonts w:ascii="仿宋_GB2312" w:hAnsi="仿宋" w:eastAsia="仿宋_GB2312"/>
                <w:sz w:val="24"/>
                <w:szCs w:val="24"/>
              </w:rPr>
              <w:t xml:space="preserve"> </w:t>
            </w: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预收专项资金</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sz w:val="24"/>
                <w:szCs w:val="24"/>
              </w:rPr>
            </w:pP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预收非专项资金</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应缴税费─应缴增值税</w:t>
            </w: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非财政补助专项资金应交</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sz w:val="24"/>
                <w:szCs w:val="24"/>
              </w:rPr>
            </w:pP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非财政补助非专项资金应交</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应缴税费─应缴其他税费</w:t>
            </w: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财政补助资金应交</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sz w:val="24"/>
                <w:szCs w:val="24"/>
              </w:rPr>
            </w:pP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非财政补助专项资金应交</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sz w:val="24"/>
                <w:szCs w:val="24"/>
              </w:rPr>
            </w:pP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非财政补助非专项资金应交</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其他应付款（扣除属于受托代理负债的金额）</w:t>
            </w: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支出类</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r>
              <w:rPr>
                <w:rFonts w:hint="eastAsia" w:ascii="仿宋_GB2312" w:hAnsi="仿宋" w:eastAsia="仿宋_GB2312"/>
              </w:rPr>
              <w:t>确认其他应付款时确认了支出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sz w:val="24"/>
                <w:szCs w:val="24"/>
              </w:rPr>
            </w:pP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其中：财政补助资金应付</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sz w:val="24"/>
                <w:szCs w:val="24"/>
              </w:rPr>
            </w:pPr>
          </w:p>
        </w:tc>
        <w:tc>
          <w:tcPr>
            <w:tcW w:w="4252" w:type="dxa"/>
            <w:vAlign w:val="center"/>
          </w:tcPr>
          <w:p>
            <w:pPr>
              <w:ind w:firstLine="720" w:firstLineChars="300"/>
              <w:rPr>
                <w:rFonts w:ascii="仿宋_GB2312" w:hAnsi="仿宋" w:eastAsia="仿宋_GB2312"/>
                <w:sz w:val="24"/>
                <w:szCs w:val="24"/>
              </w:rPr>
            </w:pPr>
            <w:r>
              <w:rPr>
                <w:rFonts w:hint="eastAsia" w:ascii="仿宋_GB2312" w:hAnsi="仿宋" w:eastAsia="仿宋_GB2312"/>
                <w:sz w:val="24"/>
                <w:szCs w:val="24"/>
              </w:rPr>
              <w:t>非财政补助专项资金应付</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sz w:val="24"/>
                <w:szCs w:val="24"/>
              </w:rPr>
            </w:pPr>
          </w:p>
        </w:tc>
        <w:tc>
          <w:tcPr>
            <w:tcW w:w="4252" w:type="dxa"/>
            <w:vAlign w:val="center"/>
          </w:tcPr>
          <w:p>
            <w:pPr>
              <w:ind w:firstLine="720" w:firstLineChars="300"/>
              <w:rPr>
                <w:rFonts w:ascii="仿宋_GB2312" w:hAnsi="仿宋" w:eastAsia="仿宋_GB2312"/>
                <w:sz w:val="24"/>
                <w:szCs w:val="24"/>
              </w:rPr>
            </w:pPr>
            <w:r>
              <w:rPr>
                <w:rFonts w:hint="eastAsia" w:ascii="仿宋_GB2312" w:hAnsi="仿宋" w:eastAsia="仿宋_GB2312"/>
                <w:sz w:val="24"/>
                <w:szCs w:val="24"/>
              </w:rPr>
              <w:t>非财政补助非专项资金应付</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668" w:type="dxa"/>
            <w:vMerge w:val="continue"/>
            <w:vAlign w:val="center"/>
          </w:tcPr>
          <w:p>
            <w:pPr>
              <w:rPr>
                <w:rFonts w:ascii="仿宋_GB2312" w:hAnsi="仿宋" w:eastAsia="仿宋_GB2312"/>
                <w:sz w:val="24"/>
                <w:szCs w:val="24"/>
              </w:rPr>
            </w:pP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周转类</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r>
              <w:rPr>
                <w:rFonts w:hint="eastAsia" w:ascii="仿宋_GB2312" w:hAnsi="仿宋" w:eastAsia="仿宋_GB2312"/>
              </w:rPr>
              <w:t>如收取的押金、保证金等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_GB2312" w:hAnsi="仿宋" w:eastAsia="仿宋_GB2312"/>
                <w:sz w:val="24"/>
                <w:szCs w:val="24"/>
              </w:rPr>
            </w:pPr>
            <w:r>
              <w:rPr>
                <w:rFonts w:hint="eastAsia" w:ascii="仿宋_GB2312" w:hAnsi="仿宋" w:eastAsia="仿宋_GB2312"/>
                <w:sz w:val="24"/>
                <w:szCs w:val="24"/>
              </w:rPr>
              <w:t>专用基金</w:t>
            </w: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从非财政补助结余分配中提取</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sz w:val="24"/>
                <w:szCs w:val="24"/>
              </w:rPr>
            </w:pP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从收入中列支提取</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sz w:val="24"/>
                <w:szCs w:val="24"/>
              </w:rPr>
            </w:pPr>
          </w:p>
        </w:tc>
        <w:tc>
          <w:tcPr>
            <w:tcW w:w="4252" w:type="dxa"/>
            <w:vAlign w:val="center"/>
          </w:tcPr>
          <w:p>
            <w:pPr>
              <w:rPr>
                <w:rFonts w:ascii="仿宋_GB2312" w:hAnsi="仿宋" w:eastAsia="仿宋_GB2312"/>
                <w:sz w:val="24"/>
                <w:szCs w:val="24"/>
              </w:rPr>
            </w:pPr>
            <w:r>
              <w:rPr>
                <w:rFonts w:hint="eastAsia" w:ascii="仿宋_GB2312" w:hAnsi="仿宋" w:eastAsia="仿宋_GB2312"/>
                <w:sz w:val="24"/>
                <w:szCs w:val="24"/>
              </w:rPr>
              <w:t>其他</w:t>
            </w:r>
          </w:p>
        </w:tc>
        <w:tc>
          <w:tcPr>
            <w:tcW w:w="709" w:type="dxa"/>
            <w:vAlign w:val="center"/>
          </w:tcPr>
          <w:p>
            <w:pPr>
              <w:rPr>
                <w:rFonts w:ascii="仿宋_GB2312" w:hAnsi="仿宋" w:eastAsia="仿宋_GB2312"/>
                <w:sz w:val="24"/>
                <w:szCs w:val="24"/>
              </w:rPr>
            </w:pPr>
          </w:p>
        </w:tc>
        <w:tc>
          <w:tcPr>
            <w:tcW w:w="1984" w:type="dxa"/>
          </w:tcPr>
          <w:p>
            <w:pPr>
              <w:rPr>
                <w:rFonts w:ascii="仿宋_GB2312" w:hAnsi="仿宋" w:eastAsia="仿宋_GB2312"/>
              </w:rPr>
            </w:pPr>
          </w:p>
        </w:tc>
      </w:tr>
    </w:tbl>
    <w:p>
      <w:pPr>
        <w:widowControl/>
        <w:jc w:val="left"/>
        <w:rPr>
          <w:rFonts w:asciiTheme="minorEastAsia" w:hAnsiTheme="minorEastAsia" w:eastAsiaTheme="minorEastAsia"/>
          <w:sz w:val="28"/>
          <w:szCs w:val="28"/>
        </w:rPr>
      </w:pPr>
    </w:p>
    <w:p>
      <w:pPr>
        <w:widowControl/>
        <w:jc w:val="left"/>
        <w:rPr>
          <w:rFonts w:ascii="仿宋" w:hAnsi="仿宋" w:eastAsia="仿宋" w:cs="宋体"/>
          <w:sz w:val="32"/>
          <w:szCs w:val="32"/>
        </w:rPr>
      </w:pPr>
      <w:r>
        <w:rPr>
          <w:rFonts w:ascii="仿宋" w:hAnsi="仿宋" w:eastAsia="仿宋" w:cs="宋体"/>
          <w:sz w:val="32"/>
          <w:szCs w:val="32"/>
        </w:rPr>
        <w:br w:type="page"/>
      </w:r>
    </w:p>
    <w:p>
      <w:pPr>
        <w:jc w:val="left"/>
        <w:rPr>
          <w:rFonts w:ascii="仿宋" w:hAnsi="仿宋" w:eastAsia="仿宋" w:cs="Times New Roman"/>
          <w:sz w:val="32"/>
          <w:szCs w:val="32"/>
        </w:rPr>
      </w:pPr>
      <w:r>
        <w:rPr>
          <w:rFonts w:hint="eastAsia" w:ascii="仿宋" w:hAnsi="仿宋" w:eastAsia="仿宋" w:cs="宋体"/>
          <w:sz w:val="32"/>
          <w:szCs w:val="32"/>
        </w:rPr>
        <w:t>附表3：</w:t>
      </w:r>
    </w:p>
    <w:p>
      <w:pPr>
        <w:jc w:val="center"/>
        <w:rPr>
          <w:rFonts w:ascii="仿宋" w:hAnsi="仿宋" w:eastAsia="仿宋" w:cs="Times New Roman"/>
          <w:b/>
          <w:bCs/>
          <w:sz w:val="32"/>
          <w:szCs w:val="32"/>
        </w:rPr>
      </w:pPr>
      <w:r>
        <w:rPr>
          <w:rFonts w:hint="eastAsia" w:ascii="仿宋" w:hAnsi="仿宋" w:eastAsia="仿宋" w:cs="宋体"/>
          <w:b/>
          <w:bCs/>
          <w:sz w:val="32"/>
          <w:szCs w:val="32"/>
        </w:rPr>
        <w:t>高等学校新旧会计制度转账、登记新账科目对照表</w:t>
      </w:r>
    </w:p>
    <w:tbl>
      <w:tblPr>
        <w:tblStyle w:val="13"/>
        <w:tblW w:w="876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9"/>
        <w:gridCol w:w="68"/>
        <w:gridCol w:w="1087"/>
        <w:gridCol w:w="47"/>
        <w:gridCol w:w="3118"/>
        <w:gridCol w:w="850"/>
        <w:gridCol w:w="28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Merge w:val="restart"/>
            <w:vAlign w:val="center"/>
          </w:tcPr>
          <w:p>
            <w:pPr>
              <w:jc w:val="center"/>
              <w:rPr>
                <w:rFonts w:ascii="仿宋_GB2312" w:hAnsi="仿宋" w:eastAsia="仿宋_GB2312" w:cs="Times New Roman"/>
                <w:sz w:val="24"/>
                <w:szCs w:val="24"/>
              </w:rPr>
            </w:pPr>
            <w:r>
              <w:rPr>
                <w:rFonts w:hint="eastAsia" w:ascii="仿宋_GB2312" w:hAnsi="仿宋" w:eastAsia="仿宋_GB2312" w:cs="宋体"/>
                <w:sz w:val="24"/>
                <w:szCs w:val="24"/>
              </w:rPr>
              <w:t>序号</w:t>
            </w:r>
          </w:p>
        </w:tc>
        <w:tc>
          <w:tcPr>
            <w:tcW w:w="4320" w:type="dxa"/>
            <w:gridSpan w:val="4"/>
            <w:vAlign w:val="center"/>
          </w:tcPr>
          <w:p>
            <w:pPr>
              <w:jc w:val="center"/>
              <w:rPr>
                <w:rFonts w:ascii="仿宋_GB2312" w:hAnsi="仿宋" w:eastAsia="仿宋_GB2312" w:cs="Times New Roman"/>
                <w:sz w:val="24"/>
                <w:szCs w:val="24"/>
              </w:rPr>
            </w:pPr>
            <w:r>
              <w:rPr>
                <w:rFonts w:hint="eastAsia" w:ascii="仿宋_GB2312" w:hAnsi="仿宋" w:eastAsia="仿宋_GB2312" w:cs="宋体"/>
                <w:sz w:val="24"/>
                <w:szCs w:val="24"/>
              </w:rPr>
              <w:t>新制度会计科目</w:t>
            </w:r>
          </w:p>
        </w:tc>
        <w:tc>
          <w:tcPr>
            <w:tcW w:w="3695" w:type="dxa"/>
            <w:gridSpan w:val="2"/>
            <w:vAlign w:val="center"/>
          </w:tcPr>
          <w:p>
            <w:pPr>
              <w:jc w:val="center"/>
              <w:rPr>
                <w:rFonts w:ascii="仿宋_GB2312" w:hAnsi="仿宋" w:eastAsia="仿宋_GB2312" w:cs="Times New Roman"/>
                <w:sz w:val="24"/>
                <w:szCs w:val="24"/>
              </w:rPr>
            </w:pPr>
            <w:r>
              <w:rPr>
                <w:rFonts w:hint="eastAsia" w:ascii="仿宋_GB2312" w:hAnsi="仿宋" w:eastAsia="仿宋_GB2312" w:cs="宋体"/>
                <w:sz w:val="24"/>
                <w:szCs w:val="24"/>
              </w:rPr>
              <w:t>原制度会计科目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Merge w:val="continue"/>
          </w:tcPr>
          <w:p>
            <w:pPr>
              <w:rPr>
                <w:rFonts w:ascii="仿宋_GB2312" w:hAnsi="仿宋" w:eastAsia="仿宋_GB2312" w:cs="Times New Roman"/>
                <w:sz w:val="24"/>
                <w:szCs w:val="24"/>
              </w:rPr>
            </w:pPr>
          </w:p>
        </w:tc>
        <w:tc>
          <w:tcPr>
            <w:tcW w:w="1155" w:type="dxa"/>
            <w:gridSpan w:val="2"/>
          </w:tcPr>
          <w:p>
            <w:pPr>
              <w:jc w:val="center"/>
              <w:rPr>
                <w:rFonts w:ascii="仿宋_GB2312" w:hAnsi="仿宋" w:eastAsia="仿宋_GB2312" w:cs="Times New Roman"/>
                <w:sz w:val="24"/>
                <w:szCs w:val="24"/>
              </w:rPr>
            </w:pPr>
            <w:r>
              <w:rPr>
                <w:rFonts w:hint="eastAsia" w:ascii="仿宋_GB2312" w:hAnsi="仿宋" w:eastAsia="仿宋_GB2312" w:cs="宋体"/>
                <w:sz w:val="24"/>
                <w:szCs w:val="24"/>
              </w:rPr>
              <w:t>编号</w:t>
            </w:r>
          </w:p>
        </w:tc>
        <w:tc>
          <w:tcPr>
            <w:tcW w:w="3165" w:type="dxa"/>
            <w:gridSpan w:val="2"/>
          </w:tcPr>
          <w:p>
            <w:pPr>
              <w:jc w:val="center"/>
              <w:rPr>
                <w:rFonts w:ascii="仿宋_GB2312" w:hAnsi="仿宋" w:eastAsia="仿宋_GB2312" w:cs="Times New Roman"/>
                <w:sz w:val="24"/>
                <w:szCs w:val="24"/>
              </w:rPr>
            </w:pPr>
            <w:r>
              <w:rPr>
                <w:rFonts w:hint="eastAsia" w:ascii="仿宋_GB2312" w:hAnsi="仿宋" w:eastAsia="仿宋_GB2312" w:cs="宋体"/>
                <w:sz w:val="24"/>
                <w:szCs w:val="24"/>
              </w:rPr>
              <w:t>名称</w:t>
            </w:r>
          </w:p>
        </w:tc>
        <w:tc>
          <w:tcPr>
            <w:tcW w:w="850" w:type="dxa"/>
          </w:tcPr>
          <w:p>
            <w:pPr>
              <w:jc w:val="center"/>
              <w:rPr>
                <w:rFonts w:ascii="仿宋_GB2312" w:hAnsi="仿宋" w:eastAsia="仿宋_GB2312" w:cs="Times New Roman"/>
                <w:sz w:val="24"/>
                <w:szCs w:val="24"/>
              </w:rPr>
            </w:pPr>
            <w:r>
              <w:rPr>
                <w:rFonts w:hint="eastAsia" w:ascii="仿宋_GB2312" w:hAnsi="仿宋" w:eastAsia="仿宋_GB2312" w:cs="宋体"/>
                <w:sz w:val="24"/>
                <w:szCs w:val="24"/>
              </w:rPr>
              <w:t>编号</w:t>
            </w:r>
          </w:p>
        </w:tc>
        <w:tc>
          <w:tcPr>
            <w:tcW w:w="2845" w:type="dxa"/>
          </w:tcPr>
          <w:p>
            <w:pPr>
              <w:jc w:val="center"/>
              <w:rPr>
                <w:rFonts w:ascii="仿宋_GB2312" w:hAnsi="仿宋" w:eastAsia="仿宋_GB2312" w:cs="Times New Roman"/>
                <w:sz w:val="24"/>
                <w:szCs w:val="24"/>
              </w:rPr>
            </w:pPr>
            <w:r>
              <w:rPr>
                <w:rFonts w:hint="eastAsia" w:ascii="仿宋_GB2312" w:hAnsi="仿宋" w:eastAsia="仿宋_GB2312" w:cs="宋体"/>
                <w:sz w:val="24"/>
                <w:szCs w:val="24"/>
              </w:rPr>
              <w:t>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4" w:type="dxa"/>
            <w:gridSpan w:val="7"/>
            <w:vAlign w:val="center"/>
          </w:tcPr>
          <w:p>
            <w:pPr>
              <w:jc w:val="center"/>
              <w:rPr>
                <w:rFonts w:ascii="仿宋_GB2312" w:hAnsi="仿宋" w:eastAsia="仿宋_GB2312" w:cs="Times New Roman"/>
                <w:sz w:val="24"/>
                <w:szCs w:val="24"/>
              </w:rPr>
            </w:pPr>
            <w:r>
              <w:rPr>
                <w:rFonts w:hint="eastAsia" w:ascii="仿宋_GB2312" w:hAnsi="仿宋" w:eastAsia="仿宋_GB2312" w:cs="宋体"/>
                <w:sz w:val="24"/>
                <w:szCs w:val="24"/>
              </w:rPr>
              <w:t>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Times New Roman"/>
                <w:sz w:val="24"/>
                <w:szCs w:val="24"/>
              </w:rPr>
            </w:pPr>
            <w:r>
              <w:rPr>
                <w:rFonts w:hint="eastAsia" w:ascii="仿宋_GB2312" w:hAnsi="仿宋" w:eastAsia="仿宋_GB2312" w:cs="宋体"/>
                <w:sz w:val="24"/>
                <w:szCs w:val="24"/>
              </w:rPr>
              <w:t>１</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1001</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库存现金</w:t>
            </w:r>
          </w:p>
        </w:tc>
        <w:tc>
          <w:tcPr>
            <w:tcW w:w="850" w:type="dxa"/>
          </w:tcPr>
          <w:p>
            <w:pPr>
              <w:rPr>
                <w:rFonts w:ascii="仿宋_GB2312" w:hAnsi="仿宋" w:eastAsia="仿宋_GB2312" w:cs="宋体"/>
                <w:sz w:val="24"/>
                <w:szCs w:val="24"/>
              </w:rPr>
            </w:pPr>
            <w:r>
              <w:rPr>
                <w:rFonts w:ascii="仿宋_GB2312" w:hAnsi="仿宋" w:eastAsia="仿宋_GB2312" w:cs="宋体"/>
                <w:sz w:val="24"/>
                <w:szCs w:val="24"/>
              </w:rPr>
              <w:t>1001</w:t>
            </w:r>
          </w:p>
        </w:tc>
        <w:tc>
          <w:tcPr>
            <w:tcW w:w="2845" w:type="dxa"/>
          </w:tcPr>
          <w:p>
            <w:pPr>
              <w:rPr>
                <w:rFonts w:ascii="仿宋_GB2312" w:hAnsi="仿宋" w:eastAsia="仿宋_GB2312" w:cs="Times New Roman"/>
                <w:sz w:val="24"/>
                <w:szCs w:val="24"/>
              </w:rPr>
            </w:pPr>
            <w:r>
              <w:rPr>
                <w:rFonts w:hint="eastAsia" w:ascii="仿宋_GB2312" w:hAnsi="仿宋" w:eastAsia="仿宋_GB2312" w:cs="宋体"/>
                <w:sz w:val="24"/>
                <w:szCs w:val="24"/>
              </w:rPr>
              <w:t>库存现金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Times New Roman"/>
                <w:sz w:val="24"/>
                <w:szCs w:val="24"/>
              </w:rPr>
            </w:pPr>
            <w:r>
              <w:rPr>
                <w:rFonts w:hint="eastAsia" w:ascii="仿宋_GB2312" w:hAnsi="仿宋" w:eastAsia="仿宋_GB2312" w:cs="宋体"/>
                <w:sz w:val="24"/>
                <w:szCs w:val="24"/>
              </w:rPr>
              <w:t>２</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1002</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银行存款</w:t>
            </w:r>
          </w:p>
        </w:tc>
        <w:tc>
          <w:tcPr>
            <w:tcW w:w="850" w:type="dxa"/>
            <w:vMerge w:val="restart"/>
            <w:vAlign w:val="center"/>
          </w:tcPr>
          <w:p>
            <w:pPr>
              <w:rPr>
                <w:rFonts w:ascii="仿宋_GB2312" w:hAnsi="仿宋" w:eastAsia="仿宋_GB2312" w:cs="宋体"/>
                <w:sz w:val="24"/>
                <w:szCs w:val="24"/>
              </w:rPr>
            </w:pPr>
            <w:r>
              <w:rPr>
                <w:rFonts w:ascii="仿宋_GB2312" w:hAnsi="仿宋" w:eastAsia="仿宋_GB2312" w:cs="宋体"/>
                <w:sz w:val="24"/>
                <w:szCs w:val="24"/>
              </w:rPr>
              <w:t>1002</w:t>
            </w:r>
          </w:p>
        </w:tc>
        <w:tc>
          <w:tcPr>
            <w:tcW w:w="2845" w:type="dxa"/>
            <w:vMerge w:val="restart"/>
            <w:vAlign w:val="center"/>
          </w:tcPr>
          <w:p>
            <w:pPr>
              <w:rPr>
                <w:rFonts w:ascii="仿宋_GB2312" w:hAnsi="仿宋" w:eastAsia="仿宋_GB2312" w:cs="Times New Roman"/>
                <w:sz w:val="24"/>
                <w:szCs w:val="24"/>
              </w:rPr>
            </w:pPr>
            <w:r>
              <w:rPr>
                <w:rFonts w:hint="eastAsia" w:ascii="仿宋_GB2312" w:hAnsi="仿宋" w:eastAsia="仿宋_GB2312" w:cs="宋体"/>
                <w:sz w:val="24"/>
                <w:szCs w:val="24"/>
              </w:rPr>
              <w:t>银行存款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3</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1021</w:t>
            </w:r>
          </w:p>
        </w:tc>
        <w:tc>
          <w:tcPr>
            <w:tcW w:w="3165" w:type="dxa"/>
            <w:gridSpan w:val="2"/>
          </w:tcPr>
          <w:p>
            <w:pPr>
              <w:rPr>
                <w:rFonts w:ascii="仿宋_GB2312" w:hAnsi="仿宋" w:eastAsia="仿宋_GB2312" w:cs="宋体"/>
                <w:sz w:val="24"/>
                <w:szCs w:val="24"/>
              </w:rPr>
            </w:pPr>
            <w:r>
              <w:rPr>
                <w:rFonts w:hint="eastAsia" w:ascii="仿宋_GB2312" w:hAnsi="仿宋" w:eastAsia="仿宋_GB2312" w:cs="宋体"/>
                <w:sz w:val="24"/>
                <w:szCs w:val="24"/>
              </w:rPr>
              <w:t>其他货币资金</w:t>
            </w:r>
          </w:p>
        </w:tc>
        <w:tc>
          <w:tcPr>
            <w:tcW w:w="850" w:type="dxa"/>
            <w:vMerge w:val="continue"/>
          </w:tcPr>
          <w:p>
            <w:pPr>
              <w:rPr>
                <w:rFonts w:ascii="仿宋_GB2312" w:hAnsi="仿宋" w:eastAsia="仿宋_GB2312" w:cs="宋体"/>
                <w:sz w:val="24"/>
                <w:szCs w:val="24"/>
              </w:rPr>
            </w:pPr>
          </w:p>
        </w:tc>
        <w:tc>
          <w:tcPr>
            <w:tcW w:w="2845" w:type="dxa"/>
            <w:vMerge w:val="continue"/>
          </w:tcPr>
          <w:p>
            <w:pPr>
              <w:rPr>
                <w:rFonts w:ascii="仿宋_GB2312" w:hAnsi="仿宋" w:eastAsia="仿宋_GB2312"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4</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1101</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短期投资</w:t>
            </w:r>
          </w:p>
        </w:tc>
        <w:tc>
          <w:tcPr>
            <w:tcW w:w="850" w:type="dxa"/>
          </w:tcPr>
          <w:p>
            <w:pPr>
              <w:rPr>
                <w:rFonts w:ascii="仿宋_GB2312" w:hAnsi="仿宋" w:eastAsia="仿宋_GB2312" w:cs="宋体"/>
                <w:sz w:val="24"/>
                <w:szCs w:val="24"/>
              </w:rPr>
            </w:pPr>
            <w:r>
              <w:rPr>
                <w:rFonts w:ascii="仿宋_GB2312" w:hAnsi="仿宋" w:eastAsia="仿宋_GB2312" w:cs="宋体"/>
                <w:sz w:val="24"/>
                <w:szCs w:val="24"/>
              </w:rPr>
              <w:t>1101</w:t>
            </w:r>
          </w:p>
        </w:tc>
        <w:tc>
          <w:tcPr>
            <w:tcW w:w="2845" w:type="dxa"/>
          </w:tcPr>
          <w:p>
            <w:pPr>
              <w:rPr>
                <w:rFonts w:ascii="仿宋_GB2312" w:hAnsi="仿宋" w:eastAsia="仿宋_GB2312" w:cs="Times New Roman"/>
                <w:sz w:val="24"/>
                <w:szCs w:val="24"/>
              </w:rPr>
            </w:pPr>
            <w:r>
              <w:rPr>
                <w:rFonts w:hint="eastAsia" w:ascii="仿宋_GB2312" w:hAnsi="仿宋" w:eastAsia="仿宋_GB2312" w:cs="宋体"/>
                <w:sz w:val="24"/>
                <w:szCs w:val="24"/>
              </w:rPr>
              <w:t>短期投资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tabs>
                <w:tab w:val="center" w:pos="4153"/>
                <w:tab w:val="right" w:pos="8306"/>
              </w:tabs>
              <w:snapToGrid w:val="0"/>
              <w:jc w:val="center"/>
              <w:rPr>
                <w:rFonts w:ascii="仿宋_GB2312" w:hAnsi="仿宋" w:eastAsia="仿宋_GB2312" w:cs="Times New Roman"/>
                <w:sz w:val="24"/>
                <w:szCs w:val="24"/>
              </w:rPr>
            </w:pPr>
            <w:r>
              <w:rPr>
                <w:rFonts w:ascii="仿宋_GB2312" w:hAnsi="仿宋" w:eastAsia="仿宋_GB2312" w:cs="宋体"/>
                <w:sz w:val="24"/>
                <w:szCs w:val="24"/>
              </w:rPr>
              <w:t>5</w:t>
            </w:r>
          </w:p>
        </w:tc>
        <w:tc>
          <w:tcPr>
            <w:tcW w:w="1155" w:type="dxa"/>
            <w:gridSpan w:val="2"/>
            <w:vAlign w:val="center"/>
          </w:tcPr>
          <w:p>
            <w:pPr>
              <w:tabs>
                <w:tab w:val="center" w:pos="4153"/>
                <w:tab w:val="right" w:pos="8306"/>
              </w:tabs>
              <w:snapToGrid w:val="0"/>
              <w:rPr>
                <w:rFonts w:ascii="仿宋_GB2312" w:hAnsi="仿宋" w:eastAsia="仿宋_GB2312" w:cs="宋体"/>
                <w:sz w:val="24"/>
                <w:szCs w:val="24"/>
              </w:rPr>
            </w:pPr>
            <w:r>
              <w:rPr>
                <w:rFonts w:ascii="仿宋_GB2312" w:hAnsi="仿宋" w:eastAsia="仿宋_GB2312" w:cs="宋体"/>
                <w:sz w:val="24"/>
                <w:szCs w:val="24"/>
              </w:rPr>
              <w:t>1201</w:t>
            </w:r>
          </w:p>
        </w:tc>
        <w:tc>
          <w:tcPr>
            <w:tcW w:w="3165" w:type="dxa"/>
            <w:gridSpan w:val="2"/>
            <w:vAlign w:val="center"/>
          </w:tcPr>
          <w:p>
            <w:pPr>
              <w:tabs>
                <w:tab w:val="center" w:pos="4153"/>
                <w:tab w:val="right" w:pos="8306"/>
              </w:tabs>
              <w:snapToGrid w:val="0"/>
              <w:rPr>
                <w:rFonts w:ascii="仿宋_GB2312" w:hAnsi="仿宋" w:eastAsia="仿宋_GB2312" w:cs="Times New Roman"/>
                <w:sz w:val="24"/>
                <w:szCs w:val="24"/>
              </w:rPr>
            </w:pPr>
            <w:r>
              <w:rPr>
                <w:rFonts w:hint="eastAsia" w:ascii="仿宋_GB2312" w:hAnsi="仿宋" w:eastAsia="仿宋_GB2312" w:cs="宋体"/>
                <w:sz w:val="24"/>
                <w:szCs w:val="24"/>
              </w:rPr>
              <w:t>财政应返还额度</w:t>
            </w:r>
          </w:p>
        </w:tc>
        <w:tc>
          <w:tcPr>
            <w:tcW w:w="850" w:type="dxa"/>
          </w:tcPr>
          <w:p>
            <w:pPr>
              <w:tabs>
                <w:tab w:val="center" w:pos="4153"/>
                <w:tab w:val="right" w:pos="8306"/>
              </w:tabs>
              <w:snapToGrid w:val="0"/>
              <w:rPr>
                <w:rFonts w:ascii="仿宋_GB2312" w:hAnsi="仿宋" w:eastAsia="仿宋_GB2312" w:cs="宋体"/>
                <w:sz w:val="24"/>
                <w:szCs w:val="24"/>
              </w:rPr>
            </w:pPr>
            <w:r>
              <w:rPr>
                <w:rFonts w:ascii="仿宋_GB2312" w:hAnsi="仿宋" w:eastAsia="仿宋_GB2312" w:cs="宋体"/>
                <w:sz w:val="24"/>
                <w:szCs w:val="24"/>
              </w:rPr>
              <w:t>1201</w:t>
            </w:r>
          </w:p>
        </w:tc>
        <w:tc>
          <w:tcPr>
            <w:tcW w:w="2845" w:type="dxa"/>
          </w:tcPr>
          <w:p>
            <w:pPr>
              <w:tabs>
                <w:tab w:val="center" w:pos="4153"/>
                <w:tab w:val="right" w:pos="8306"/>
              </w:tabs>
              <w:snapToGrid w:val="0"/>
              <w:rPr>
                <w:rFonts w:ascii="仿宋_GB2312" w:hAnsi="仿宋" w:eastAsia="仿宋_GB2312" w:cs="Times New Roman"/>
                <w:sz w:val="24"/>
                <w:szCs w:val="24"/>
              </w:rPr>
            </w:pPr>
            <w:r>
              <w:rPr>
                <w:rFonts w:hint="eastAsia" w:ascii="仿宋_GB2312" w:hAnsi="仿宋" w:eastAsia="仿宋_GB2312" w:cs="宋体"/>
                <w:sz w:val="24"/>
                <w:szCs w:val="24"/>
              </w:rPr>
              <w:t>财政应返还额度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Times New Roman"/>
                <w:sz w:val="24"/>
                <w:szCs w:val="24"/>
              </w:rPr>
            </w:pPr>
            <w:r>
              <w:rPr>
                <w:rFonts w:ascii="仿宋_GB2312" w:hAnsi="仿宋" w:eastAsia="仿宋_GB2312" w:cs="宋体"/>
                <w:sz w:val="24"/>
                <w:szCs w:val="24"/>
              </w:rPr>
              <w:t>6</w:t>
            </w:r>
          </w:p>
        </w:tc>
        <w:tc>
          <w:tcPr>
            <w:tcW w:w="1155" w:type="dxa"/>
            <w:gridSpan w:val="2"/>
            <w:vAlign w:val="center"/>
          </w:tcPr>
          <w:p>
            <w:pPr>
              <w:rPr>
                <w:rFonts w:ascii="仿宋_GB2312" w:hAnsi="仿宋" w:eastAsia="仿宋_GB2312" w:cs="宋体"/>
                <w:sz w:val="24"/>
                <w:szCs w:val="24"/>
              </w:rPr>
            </w:pPr>
            <w:r>
              <w:rPr>
                <w:rFonts w:ascii="仿宋_GB2312" w:hAnsi="仿宋" w:eastAsia="仿宋_GB2312" w:cs="宋体"/>
                <w:sz w:val="24"/>
                <w:szCs w:val="24"/>
              </w:rPr>
              <w:t>1211</w:t>
            </w:r>
          </w:p>
        </w:tc>
        <w:tc>
          <w:tcPr>
            <w:tcW w:w="3165" w:type="dxa"/>
            <w:gridSpan w:val="2"/>
            <w:vAlign w:val="center"/>
          </w:tcPr>
          <w:p>
            <w:pPr>
              <w:rPr>
                <w:rFonts w:ascii="仿宋_GB2312" w:hAnsi="仿宋" w:eastAsia="仿宋_GB2312" w:cs="Times New Roman"/>
                <w:sz w:val="24"/>
                <w:szCs w:val="24"/>
              </w:rPr>
            </w:pPr>
            <w:r>
              <w:rPr>
                <w:rFonts w:hint="eastAsia" w:ascii="仿宋_GB2312" w:hAnsi="仿宋" w:eastAsia="仿宋_GB2312" w:cs="宋体"/>
                <w:sz w:val="24"/>
                <w:szCs w:val="24"/>
              </w:rPr>
              <w:t>应收票据</w:t>
            </w:r>
          </w:p>
        </w:tc>
        <w:tc>
          <w:tcPr>
            <w:tcW w:w="850" w:type="dxa"/>
          </w:tcPr>
          <w:p>
            <w:pPr>
              <w:rPr>
                <w:rFonts w:ascii="仿宋_GB2312" w:hAnsi="仿宋" w:eastAsia="仿宋_GB2312" w:cs="宋体"/>
                <w:sz w:val="24"/>
                <w:szCs w:val="24"/>
              </w:rPr>
            </w:pPr>
            <w:r>
              <w:rPr>
                <w:rFonts w:ascii="仿宋_GB2312" w:hAnsi="仿宋" w:eastAsia="仿宋_GB2312" w:cs="宋体"/>
                <w:sz w:val="24"/>
                <w:szCs w:val="24"/>
              </w:rPr>
              <w:t>1211</w:t>
            </w:r>
          </w:p>
        </w:tc>
        <w:tc>
          <w:tcPr>
            <w:tcW w:w="2845" w:type="dxa"/>
          </w:tcPr>
          <w:p>
            <w:pPr>
              <w:rPr>
                <w:rFonts w:ascii="仿宋_GB2312" w:hAnsi="仿宋" w:eastAsia="仿宋_GB2312" w:cs="宋体"/>
                <w:sz w:val="24"/>
                <w:szCs w:val="24"/>
              </w:rPr>
            </w:pPr>
            <w:r>
              <w:rPr>
                <w:rFonts w:hint="eastAsia" w:ascii="仿宋_GB2312" w:hAnsi="仿宋" w:eastAsia="仿宋_GB2312" w:cs="宋体"/>
                <w:sz w:val="24"/>
                <w:szCs w:val="24"/>
              </w:rPr>
              <w:t>应收票据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7</w:t>
            </w:r>
          </w:p>
        </w:tc>
        <w:tc>
          <w:tcPr>
            <w:tcW w:w="1155" w:type="dxa"/>
            <w:gridSpan w:val="2"/>
            <w:vAlign w:val="center"/>
          </w:tcPr>
          <w:p>
            <w:pPr>
              <w:rPr>
                <w:rFonts w:ascii="仿宋_GB2312" w:hAnsi="仿宋" w:eastAsia="仿宋_GB2312" w:cs="宋体"/>
                <w:sz w:val="24"/>
                <w:szCs w:val="24"/>
              </w:rPr>
            </w:pPr>
            <w:r>
              <w:rPr>
                <w:rFonts w:ascii="仿宋_GB2312" w:hAnsi="仿宋" w:eastAsia="仿宋_GB2312" w:cs="宋体"/>
                <w:sz w:val="24"/>
                <w:szCs w:val="24"/>
              </w:rPr>
              <w:t>1212</w:t>
            </w:r>
          </w:p>
        </w:tc>
        <w:tc>
          <w:tcPr>
            <w:tcW w:w="3165" w:type="dxa"/>
            <w:gridSpan w:val="2"/>
            <w:vAlign w:val="center"/>
          </w:tcPr>
          <w:p>
            <w:pPr>
              <w:rPr>
                <w:rFonts w:ascii="仿宋_GB2312" w:hAnsi="仿宋" w:eastAsia="仿宋_GB2312" w:cs="宋体"/>
                <w:sz w:val="24"/>
                <w:szCs w:val="24"/>
              </w:rPr>
            </w:pPr>
            <w:r>
              <w:rPr>
                <w:rFonts w:hint="eastAsia" w:ascii="仿宋_GB2312" w:hAnsi="仿宋" w:eastAsia="仿宋_GB2312" w:cs="宋体"/>
                <w:sz w:val="24"/>
                <w:szCs w:val="24"/>
              </w:rPr>
              <w:t>应收账款</w:t>
            </w:r>
          </w:p>
        </w:tc>
        <w:tc>
          <w:tcPr>
            <w:tcW w:w="850" w:type="dxa"/>
          </w:tcPr>
          <w:p>
            <w:pPr>
              <w:rPr>
                <w:rFonts w:ascii="仿宋_GB2312" w:hAnsi="仿宋" w:eastAsia="仿宋_GB2312" w:cs="宋体"/>
                <w:sz w:val="24"/>
                <w:szCs w:val="24"/>
              </w:rPr>
            </w:pPr>
            <w:r>
              <w:rPr>
                <w:rFonts w:ascii="仿宋_GB2312" w:hAnsi="仿宋" w:eastAsia="仿宋_GB2312" w:cs="宋体"/>
                <w:sz w:val="24"/>
                <w:szCs w:val="24"/>
              </w:rPr>
              <w:t>1212</w:t>
            </w:r>
          </w:p>
        </w:tc>
        <w:tc>
          <w:tcPr>
            <w:tcW w:w="2845" w:type="dxa"/>
          </w:tcPr>
          <w:p>
            <w:pPr>
              <w:rPr>
                <w:rFonts w:ascii="仿宋_GB2312" w:hAnsi="仿宋" w:eastAsia="仿宋_GB2312" w:cs="宋体"/>
                <w:sz w:val="24"/>
                <w:szCs w:val="24"/>
              </w:rPr>
            </w:pPr>
            <w:r>
              <w:rPr>
                <w:rFonts w:hint="eastAsia" w:ascii="仿宋_GB2312" w:hAnsi="仿宋" w:eastAsia="仿宋_GB2312" w:cs="宋体"/>
                <w:sz w:val="24"/>
                <w:szCs w:val="24"/>
              </w:rPr>
              <w:t>应收账款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8</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1214</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预付账款</w:t>
            </w:r>
          </w:p>
        </w:tc>
        <w:tc>
          <w:tcPr>
            <w:tcW w:w="850" w:type="dxa"/>
            <w:vMerge w:val="restart"/>
            <w:vAlign w:val="center"/>
          </w:tcPr>
          <w:p>
            <w:pPr>
              <w:jc w:val="left"/>
              <w:rPr>
                <w:rFonts w:ascii="仿宋_GB2312" w:hAnsi="仿宋" w:eastAsia="仿宋_GB2312" w:cs="宋体"/>
                <w:sz w:val="24"/>
                <w:szCs w:val="24"/>
              </w:rPr>
            </w:pPr>
            <w:r>
              <w:rPr>
                <w:rFonts w:ascii="仿宋_GB2312" w:hAnsi="仿宋" w:eastAsia="仿宋_GB2312" w:cs="宋体"/>
                <w:sz w:val="24"/>
                <w:szCs w:val="24"/>
              </w:rPr>
              <w:t>1213</w:t>
            </w:r>
          </w:p>
        </w:tc>
        <w:tc>
          <w:tcPr>
            <w:tcW w:w="2845" w:type="dxa"/>
            <w:vMerge w:val="restart"/>
            <w:vAlign w:val="center"/>
          </w:tcPr>
          <w:p>
            <w:pPr>
              <w:rPr>
                <w:rFonts w:ascii="仿宋_GB2312" w:hAnsi="仿宋" w:eastAsia="仿宋_GB2312" w:cs="Times New Roman"/>
                <w:sz w:val="24"/>
                <w:szCs w:val="24"/>
              </w:rPr>
            </w:pPr>
            <w:r>
              <w:rPr>
                <w:rFonts w:hint="eastAsia" w:ascii="仿宋_GB2312" w:hAnsi="仿宋" w:eastAsia="仿宋_GB2312" w:cs="宋体"/>
                <w:sz w:val="24"/>
                <w:szCs w:val="24"/>
              </w:rPr>
              <w:t>预付账款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9</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18</w:t>
            </w:r>
            <w:r>
              <w:rPr>
                <w:rFonts w:hint="eastAsia" w:ascii="仿宋_GB2312" w:hAnsi="仿宋" w:eastAsia="仿宋_GB2312" w:cs="宋体"/>
                <w:sz w:val="24"/>
                <w:szCs w:val="24"/>
              </w:rPr>
              <w:t>91</w:t>
            </w:r>
          </w:p>
        </w:tc>
        <w:tc>
          <w:tcPr>
            <w:tcW w:w="3165" w:type="dxa"/>
            <w:gridSpan w:val="2"/>
          </w:tcPr>
          <w:p>
            <w:pPr>
              <w:rPr>
                <w:rFonts w:ascii="仿宋_GB2312" w:hAnsi="仿宋" w:eastAsia="仿宋_GB2312" w:cs="宋体"/>
                <w:sz w:val="24"/>
                <w:szCs w:val="24"/>
              </w:rPr>
            </w:pPr>
            <w:r>
              <w:rPr>
                <w:rFonts w:hint="eastAsia" w:ascii="仿宋_GB2312" w:hAnsi="仿宋" w:eastAsia="仿宋_GB2312" w:cs="宋体"/>
                <w:sz w:val="24"/>
                <w:szCs w:val="24"/>
              </w:rPr>
              <w:t>受托代理资产</w:t>
            </w:r>
          </w:p>
        </w:tc>
        <w:tc>
          <w:tcPr>
            <w:tcW w:w="850" w:type="dxa"/>
            <w:vMerge w:val="continue"/>
          </w:tcPr>
          <w:p>
            <w:pPr>
              <w:rPr>
                <w:rFonts w:ascii="仿宋_GB2312" w:hAnsi="仿宋" w:eastAsia="仿宋_GB2312" w:cs="宋体"/>
                <w:sz w:val="24"/>
                <w:szCs w:val="24"/>
              </w:rPr>
            </w:pPr>
          </w:p>
        </w:tc>
        <w:tc>
          <w:tcPr>
            <w:tcW w:w="2845" w:type="dxa"/>
            <w:vMerge w:val="continue"/>
          </w:tcPr>
          <w:p>
            <w:pPr>
              <w:rPr>
                <w:rFonts w:ascii="仿宋_GB2312" w:hAnsi="仿宋" w:eastAsia="仿宋_GB2312"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Times New Roman"/>
                <w:sz w:val="24"/>
                <w:szCs w:val="24"/>
              </w:rPr>
            </w:pPr>
            <w:r>
              <w:rPr>
                <w:rFonts w:ascii="仿宋_GB2312" w:hAnsi="仿宋" w:eastAsia="仿宋_GB2312" w:cs="宋体"/>
                <w:sz w:val="24"/>
                <w:szCs w:val="24"/>
              </w:rPr>
              <w:t>10</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1218</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其他应收款</w:t>
            </w:r>
          </w:p>
        </w:tc>
        <w:tc>
          <w:tcPr>
            <w:tcW w:w="850" w:type="dxa"/>
            <w:vMerge w:val="restart"/>
            <w:vAlign w:val="center"/>
          </w:tcPr>
          <w:p>
            <w:pPr>
              <w:rPr>
                <w:rFonts w:ascii="仿宋_GB2312" w:hAnsi="仿宋" w:eastAsia="仿宋_GB2312" w:cs="宋体"/>
                <w:sz w:val="24"/>
                <w:szCs w:val="24"/>
              </w:rPr>
            </w:pPr>
            <w:r>
              <w:rPr>
                <w:rFonts w:ascii="仿宋_GB2312" w:hAnsi="仿宋" w:eastAsia="仿宋_GB2312" w:cs="宋体"/>
                <w:sz w:val="24"/>
                <w:szCs w:val="24"/>
              </w:rPr>
              <w:t>1215</w:t>
            </w:r>
          </w:p>
        </w:tc>
        <w:tc>
          <w:tcPr>
            <w:tcW w:w="2845" w:type="dxa"/>
            <w:vMerge w:val="restart"/>
            <w:vAlign w:val="center"/>
          </w:tcPr>
          <w:p>
            <w:pPr>
              <w:rPr>
                <w:rFonts w:ascii="仿宋_GB2312" w:hAnsi="仿宋" w:eastAsia="仿宋_GB2312" w:cs="宋体"/>
                <w:sz w:val="24"/>
                <w:szCs w:val="24"/>
              </w:rPr>
            </w:pPr>
            <w:r>
              <w:rPr>
                <w:rFonts w:hint="eastAsia" w:ascii="仿宋_GB2312" w:hAnsi="仿宋" w:eastAsia="仿宋_GB2312" w:cs="宋体"/>
                <w:sz w:val="24"/>
                <w:szCs w:val="24"/>
              </w:rPr>
              <w:t>其他应收款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11</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1301</w:t>
            </w:r>
          </w:p>
        </w:tc>
        <w:tc>
          <w:tcPr>
            <w:tcW w:w="3165" w:type="dxa"/>
            <w:gridSpan w:val="2"/>
          </w:tcPr>
          <w:p>
            <w:pPr>
              <w:rPr>
                <w:rFonts w:ascii="仿宋_GB2312" w:hAnsi="仿宋" w:eastAsia="仿宋_GB2312" w:cs="宋体"/>
                <w:sz w:val="24"/>
                <w:szCs w:val="24"/>
              </w:rPr>
            </w:pPr>
            <w:r>
              <w:rPr>
                <w:rFonts w:hint="eastAsia" w:ascii="仿宋_GB2312" w:hAnsi="仿宋" w:eastAsia="仿宋_GB2312" w:cs="宋体"/>
                <w:sz w:val="24"/>
                <w:szCs w:val="24"/>
              </w:rPr>
              <w:t>在途物品</w:t>
            </w:r>
          </w:p>
        </w:tc>
        <w:tc>
          <w:tcPr>
            <w:tcW w:w="850" w:type="dxa"/>
            <w:vMerge w:val="continue"/>
            <w:vAlign w:val="center"/>
          </w:tcPr>
          <w:p>
            <w:pPr>
              <w:rPr>
                <w:rFonts w:ascii="仿宋_GB2312" w:hAnsi="仿宋" w:eastAsia="仿宋_GB2312" w:cs="宋体"/>
                <w:sz w:val="24"/>
                <w:szCs w:val="24"/>
              </w:rPr>
            </w:pPr>
          </w:p>
        </w:tc>
        <w:tc>
          <w:tcPr>
            <w:tcW w:w="2845" w:type="dxa"/>
            <w:vMerge w:val="continue"/>
          </w:tcPr>
          <w:p>
            <w:pPr>
              <w:rPr>
                <w:rFonts w:ascii="仿宋_GB2312" w:hAnsi="仿宋" w:eastAsia="仿宋_GB2312"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12</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1891</w:t>
            </w:r>
          </w:p>
        </w:tc>
        <w:tc>
          <w:tcPr>
            <w:tcW w:w="3165" w:type="dxa"/>
            <w:gridSpan w:val="2"/>
          </w:tcPr>
          <w:p>
            <w:pPr>
              <w:rPr>
                <w:rFonts w:ascii="仿宋_GB2312" w:hAnsi="仿宋" w:eastAsia="仿宋_GB2312" w:cs="宋体"/>
                <w:sz w:val="24"/>
                <w:szCs w:val="24"/>
              </w:rPr>
            </w:pPr>
            <w:r>
              <w:rPr>
                <w:rFonts w:hint="eastAsia" w:ascii="仿宋_GB2312" w:hAnsi="仿宋" w:eastAsia="仿宋_GB2312" w:cs="宋体"/>
                <w:sz w:val="24"/>
                <w:szCs w:val="24"/>
              </w:rPr>
              <w:t>受托代理资产</w:t>
            </w:r>
          </w:p>
        </w:tc>
        <w:tc>
          <w:tcPr>
            <w:tcW w:w="850" w:type="dxa"/>
            <w:vMerge w:val="continue"/>
            <w:vAlign w:val="center"/>
          </w:tcPr>
          <w:p>
            <w:pPr>
              <w:rPr>
                <w:rFonts w:ascii="仿宋_GB2312" w:hAnsi="仿宋" w:eastAsia="仿宋_GB2312" w:cs="宋体"/>
                <w:sz w:val="24"/>
                <w:szCs w:val="24"/>
              </w:rPr>
            </w:pPr>
          </w:p>
        </w:tc>
        <w:tc>
          <w:tcPr>
            <w:tcW w:w="2845" w:type="dxa"/>
            <w:vMerge w:val="continue"/>
          </w:tcPr>
          <w:p>
            <w:pPr>
              <w:rPr>
                <w:rFonts w:ascii="仿宋_GB2312" w:hAnsi="仿宋" w:eastAsia="仿宋_GB2312"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13</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1302</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库存物品</w:t>
            </w:r>
          </w:p>
        </w:tc>
        <w:tc>
          <w:tcPr>
            <w:tcW w:w="850" w:type="dxa"/>
            <w:vMerge w:val="restart"/>
            <w:vAlign w:val="center"/>
          </w:tcPr>
          <w:p>
            <w:pPr>
              <w:rPr>
                <w:rFonts w:ascii="仿宋_GB2312" w:hAnsi="仿宋" w:eastAsia="仿宋_GB2312" w:cs="宋体"/>
                <w:sz w:val="24"/>
                <w:szCs w:val="24"/>
              </w:rPr>
            </w:pPr>
            <w:r>
              <w:rPr>
                <w:rFonts w:ascii="仿宋_GB2312" w:hAnsi="仿宋" w:eastAsia="仿宋_GB2312" w:cs="宋体"/>
                <w:sz w:val="24"/>
                <w:szCs w:val="24"/>
              </w:rPr>
              <w:t>1301</w:t>
            </w:r>
          </w:p>
        </w:tc>
        <w:tc>
          <w:tcPr>
            <w:tcW w:w="2845" w:type="dxa"/>
            <w:vMerge w:val="restart"/>
            <w:vAlign w:val="center"/>
          </w:tcPr>
          <w:p>
            <w:pPr>
              <w:rPr>
                <w:rFonts w:ascii="仿宋_GB2312" w:hAnsi="仿宋" w:eastAsia="仿宋_GB2312" w:cs="Times New Roman"/>
                <w:sz w:val="24"/>
                <w:szCs w:val="24"/>
              </w:rPr>
            </w:pPr>
            <w:r>
              <w:rPr>
                <w:rFonts w:hint="eastAsia" w:ascii="仿宋_GB2312" w:hAnsi="仿宋" w:eastAsia="仿宋_GB2312" w:cs="Times New Roman"/>
                <w:sz w:val="24"/>
                <w:szCs w:val="24"/>
              </w:rPr>
              <w:t>存货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14</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1303</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加工物品</w:t>
            </w:r>
          </w:p>
        </w:tc>
        <w:tc>
          <w:tcPr>
            <w:tcW w:w="850" w:type="dxa"/>
            <w:vMerge w:val="continue"/>
            <w:vAlign w:val="center"/>
          </w:tcPr>
          <w:p>
            <w:pPr>
              <w:rPr>
                <w:rFonts w:ascii="仿宋_GB2312" w:hAnsi="仿宋" w:eastAsia="仿宋_GB2312" w:cs="宋体"/>
                <w:sz w:val="24"/>
                <w:szCs w:val="24"/>
              </w:rPr>
            </w:pPr>
          </w:p>
        </w:tc>
        <w:tc>
          <w:tcPr>
            <w:tcW w:w="2845" w:type="dxa"/>
            <w:vMerge w:val="continue"/>
            <w:vAlign w:val="center"/>
          </w:tcPr>
          <w:p>
            <w:pPr>
              <w:rPr>
                <w:rFonts w:ascii="仿宋_GB2312" w:hAnsi="仿宋" w:eastAsia="仿宋_GB2312"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15</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1891</w:t>
            </w:r>
          </w:p>
        </w:tc>
        <w:tc>
          <w:tcPr>
            <w:tcW w:w="3165" w:type="dxa"/>
            <w:gridSpan w:val="2"/>
          </w:tcPr>
          <w:p>
            <w:pPr>
              <w:rPr>
                <w:rFonts w:ascii="仿宋_GB2312" w:hAnsi="仿宋" w:eastAsia="仿宋_GB2312" w:cs="宋体"/>
                <w:sz w:val="24"/>
                <w:szCs w:val="24"/>
              </w:rPr>
            </w:pPr>
            <w:r>
              <w:rPr>
                <w:rFonts w:hint="eastAsia" w:ascii="仿宋_GB2312" w:hAnsi="仿宋" w:eastAsia="仿宋_GB2312" w:cs="宋体"/>
                <w:sz w:val="24"/>
                <w:szCs w:val="24"/>
              </w:rPr>
              <w:t>受托代理资产</w:t>
            </w:r>
          </w:p>
        </w:tc>
        <w:tc>
          <w:tcPr>
            <w:tcW w:w="850" w:type="dxa"/>
            <w:vMerge w:val="continue"/>
            <w:vAlign w:val="center"/>
          </w:tcPr>
          <w:p>
            <w:pPr>
              <w:rPr>
                <w:rFonts w:ascii="仿宋_GB2312" w:hAnsi="仿宋" w:eastAsia="仿宋_GB2312" w:cs="宋体"/>
                <w:sz w:val="24"/>
                <w:szCs w:val="24"/>
              </w:rPr>
            </w:pPr>
          </w:p>
        </w:tc>
        <w:tc>
          <w:tcPr>
            <w:tcW w:w="2845" w:type="dxa"/>
            <w:vMerge w:val="continue"/>
            <w:vAlign w:val="center"/>
          </w:tcPr>
          <w:p>
            <w:pPr>
              <w:rPr>
                <w:rFonts w:ascii="仿宋_GB2312" w:hAnsi="仿宋" w:eastAsia="仿宋_GB2312"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16</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1501</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长期股权投资</w:t>
            </w:r>
          </w:p>
        </w:tc>
        <w:tc>
          <w:tcPr>
            <w:tcW w:w="850" w:type="dxa"/>
            <w:vMerge w:val="restart"/>
            <w:vAlign w:val="center"/>
          </w:tcPr>
          <w:p>
            <w:pPr>
              <w:rPr>
                <w:rFonts w:ascii="仿宋_GB2312" w:hAnsi="仿宋" w:eastAsia="仿宋_GB2312" w:cs="宋体"/>
                <w:sz w:val="24"/>
                <w:szCs w:val="24"/>
              </w:rPr>
            </w:pPr>
            <w:r>
              <w:rPr>
                <w:rFonts w:ascii="仿宋_GB2312" w:hAnsi="仿宋" w:eastAsia="仿宋_GB2312" w:cs="宋体"/>
                <w:sz w:val="24"/>
                <w:szCs w:val="24"/>
              </w:rPr>
              <w:t>1401</w:t>
            </w:r>
          </w:p>
        </w:tc>
        <w:tc>
          <w:tcPr>
            <w:tcW w:w="2845" w:type="dxa"/>
            <w:vMerge w:val="restart"/>
            <w:vAlign w:val="center"/>
          </w:tcPr>
          <w:p>
            <w:pPr>
              <w:rPr>
                <w:rFonts w:ascii="仿宋_GB2312" w:hAnsi="仿宋" w:eastAsia="仿宋_GB2312" w:cs="Times New Roman"/>
                <w:sz w:val="24"/>
                <w:szCs w:val="24"/>
              </w:rPr>
            </w:pPr>
            <w:r>
              <w:rPr>
                <w:rFonts w:hint="eastAsia" w:ascii="仿宋_GB2312" w:hAnsi="仿宋" w:eastAsia="仿宋_GB2312" w:cs="宋体"/>
                <w:sz w:val="24"/>
                <w:szCs w:val="24"/>
              </w:rPr>
              <w:t>长期投资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17</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1502</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长期债券投资</w:t>
            </w:r>
          </w:p>
        </w:tc>
        <w:tc>
          <w:tcPr>
            <w:tcW w:w="850" w:type="dxa"/>
            <w:vMerge w:val="continue"/>
          </w:tcPr>
          <w:p>
            <w:pPr>
              <w:rPr>
                <w:rFonts w:ascii="仿宋_GB2312" w:hAnsi="仿宋" w:eastAsia="仿宋_GB2312" w:cs="宋体"/>
                <w:sz w:val="24"/>
                <w:szCs w:val="24"/>
              </w:rPr>
            </w:pPr>
          </w:p>
        </w:tc>
        <w:tc>
          <w:tcPr>
            <w:tcW w:w="2845" w:type="dxa"/>
            <w:vMerge w:val="continue"/>
          </w:tcPr>
          <w:p>
            <w:pPr>
              <w:rPr>
                <w:rFonts w:ascii="仿宋_GB2312" w:hAnsi="仿宋" w:eastAsia="仿宋_GB2312"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18</w:t>
            </w:r>
          </w:p>
        </w:tc>
        <w:tc>
          <w:tcPr>
            <w:tcW w:w="1155" w:type="dxa"/>
            <w:gridSpan w:val="2"/>
            <w:vAlign w:val="center"/>
          </w:tcPr>
          <w:p>
            <w:pPr>
              <w:rPr>
                <w:rFonts w:ascii="仿宋_GB2312" w:hAnsi="仿宋" w:eastAsia="仿宋_GB2312" w:cs="宋体"/>
                <w:sz w:val="24"/>
                <w:szCs w:val="24"/>
              </w:rPr>
            </w:pPr>
            <w:r>
              <w:rPr>
                <w:rFonts w:ascii="仿宋_GB2312" w:hAnsi="仿宋" w:eastAsia="仿宋_GB2312" w:cs="宋体"/>
                <w:sz w:val="24"/>
                <w:szCs w:val="24"/>
              </w:rPr>
              <w:t>1601</w:t>
            </w:r>
          </w:p>
        </w:tc>
        <w:tc>
          <w:tcPr>
            <w:tcW w:w="3165" w:type="dxa"/>
            <w:gridSpan w:val="2"/>
            <w:vAlign w:val="center"/>
          </w:tcPr>
          <w:p>
            <w:pPr>
              <w:rPr>
                <w:rFonts w:ascii="仿宋_GB2312" w:hAnsi="仿宋" w:eastAsia="仿宋_GB2312" w:cs="Times New Roman"/>
                <w:sz w:val="24"/>
                <w:szCs w:val="24"/>
              </w:rPr>
            </w:pPr>
            <w:r>
              <w:rPr>
                <w:rFonts w:hint="eastAsia" w:ascii="仿宋_GB2312" w:hAnsi="仿宋" w:eastAsia="仿宋_GB2312" w:cs="宋体"/>
                <w:sz w:val="24"/>
                <w:szCs w:val="24"/>
              </w:rPr>
              <w:t>固定资产</w:t>
            </w:r>
          </w:p>
        </w:tc>
        <w:tc>
          <w:tcPr>
            <w:tcW w:w="850" w:type="dxa"/>
            <w:vMerge w:val="restart"/>
            <w:vAlign w:val="center"/>
          </w:tcPr>
          <w:p>
            <w:pPr>
              <w:rPr>
                <w:rFonts w:ascii="仿宋_GB2312" w:hAnsi="仿宋" w:eastAsia="仿宋_GB2312" w:cs="宋体"/>
                <w:sz w:val="24"/>
                <w:szCs w:val="24"/>
              </w:rPr>
            </w:pPr>
            <w:r>
              <w:rPr>
                <w:rFonts w:ascii="仿宋_GB2312" w:hAnsi="仿宋" w:eastAsia="仿宋_GB2312" w:cs="宋体"/>
                <w:sz w:val="24"/>
                <w:szCs w:val="24"/>
              </w:rPr>
              <w:t>1501</w:t>
            </w:r>
          </w:p>
        </w:tc>
        <w:tc>
          <w:tcPr>
            <w:tcW w:w="2845" w:type="dxa"/>
            <w:vMerge w:val="restart"/>
            <w:vAlign w:val="center"/>
          </w:tcPr>
          <w:p>
            <w:pPr>
              <w:rPr>
                <w:rFonts w:ascii="仿宋_GB2312" w:hAnsi="仿宋" w:eastAsia="仿宋_GB2312" w:cs="Times New Roman"/>
                <w:sz w:val="24"/>
                <w:szCs w:val="24"/>
              </w:rPr>
            </w:pPr>
            <w:r>
              <w:rPr>
                <w:rFonts w:hint="eastAsia" w:ascii="仿宋_GB2312" w:hAnsi="仿宋" w:eastAsia="仿宋_GB2312" w:cs="宋体"/>
                <w:sz w:val="24"/>
                <w:szCs w:val="24"/>
              </w:rPr>
              <w:t>固定资产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19</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1891</w:t>
            </w:r>
          </w:p>
        </w:tc>
        <w:tc>
          <w:tcPr>
            <w:tcW w:w="3165" w:type="dxa"/>
            <w:gridSpan w:val="2"/>
          </w:tcPr>
          <w:p>
            <w:pPr>
              <w:rPr>
                <w:rFonts w:ascii="仿宋_GB2312" w:hAnsi="仿宋" w:eastAsia="仿宋_GB2312" w:cs="宋体"/>
                <w:sz w:val="24"/>
                <w:szCs w:val="24"/>
              </w:rPr>
            </w:pPr>
            <w:r>
              <w:rPr>
                <w:rFonts w:hint="eastAsia" w:ascii="仿宋_GB2312" w:hAnsi="仿宋" w:eastAsia="仿宋_GB2312" w:cs="宋体"/>
                <w:sz w:val="24"/>
                <w:szCs w:val="24"/>
              </w:rPr>
              <w:t>受托代理资产</w:t>
            </w:r>
          </w:p>
        </w:tc>
        <w:tc>
          <w:tcPr>
            <w:tcW w:w="850" w:type="dxa"/>
            <w:vMerge w:val="continue"/>
            <w:vAlign w:val="center"/>
          </w:tcPr>
          <w:p>
            <w:pPr>
              <w:rPr>
                <w:rFonts w:ascii="仿宋_GB2312" w:hAnsi="仿宋" w:eastAsia="仿宋_GB2312" w:cs="宋体"/>
                <w:sz w:val="24"/>
                <w:szCs w:val="24"/>
              </w:rPr>
            </w:pPr>
          </w:p>
        </w:tc>
        <w:tc>
          <w:tcPr>
            <w:tcW w:w="2845" w:type="dxa"/>
            <w:vMerge w:val="continue"/>
            <w:vAlign w:val="center"/>
          </w:tcPr>
          <w:p>
            <w:pPr>
              <w:rPr>
                <w:rFonts w:ascii="仿宋_GB2312" w:hAnsi="仿宋" w:eastAsia="仿宋_GB2312"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20</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1602</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固定资产累计折旧</w:t>
            </w:r>
          </w:p>
        </w:tc>
        <w:tc>
          <w:tcPr>
            <w:tcW w:w="850" w:type="dxa"/>
            <w:vMerge w:val="restart"/>
            <w:vAlign w:val="center"/>
          </w:tcPr>
          <w:p>
            <w:pPr>
              <w:rPr>
                <w:rFonts w:ascii="仿宋_GB2312" w:hAnsi="仿宋" w:eastAsia="仿宋_GB2312" w:cs="宋体"/>
                <w:sz w:val="24"/>
                <w:szCs w:val="24"/>
              </w:rPr>
            </w:pPr>
            <w:r>
              <w:rPr>
                <w:rFonts w:ascii="仿宋_GB2312" w:hAnsi="仿宋" w:eastAsia="仿宋_GB2312" w:cs="宋体"/>
                <w:sz w:val="24"/>
                <w:szCs w:val="24"/>
              </w:rPr>
              <w:t>1502</w:t>
            </w:r>
          </w:p>
        </w:tc>
        <w:tc>
          <w:tcPr>
            <w:tcW w:w="2845" w:type="dxa"/>
            <w:vMerge w:val="restart"/>
            <w:vAlign w:val="center"/>
          </w:tcPr>
          <w:p>
            <w:pPr>
              <w:rPr>
                <w:rFonts w:ascii="仿宋_GB2312" w:hAnsi="仿宋" w:eastAsia="仿宋_GB2312" w:cs="Times New Roman"/>
                <w:sz w:val="24"/>
                <w:szCs w:val="24"/>
              </w:rPr>
            </w:pPr>
            <w:r>
              <w:rPr>
                <w:rFonts w:hint="eastAsia" w:ascii="仿宋_GB2312" w:hAnsi="仿宋" w:eastAsia="仿宋_GB2312" w:cs="宋体"/>
                <w:sz w:val="24"/>
                <w:szCs w:val="24"/>
              </w:rPr>
              <w:t>累计折旧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21</w:t>
            </w:r>
          </w:p>
        </w:tc>
        <w:tc>
          <w:tcPr>
            <w:tcW w:w="1155" w:type="dxa"/>
            <w:gridSpan w:val="2"/>
          </w:tcPr>
          <w:p>
            <w:pPr>
              <w:rPr>
                <w:rFonts w:ascii="仿宋_GB2312" w:hAnsi="仿宋" w:eastAsia="仿宋_GB2312" w:cs="宋体"/>
                <w:sz w:val="24"/>
                <w:szCs w:val="24"/>
              </w:rPr>
            </w:pPr>
            <w:r>
              <w:rPr>
                <w:rFonts w:hint="eastAsia" w:ascii="仿宋_GB2312" w:hAnsi="仿宋" w:eastAsia="仿宋_GB2312" w:cs="宋体"/>
                <w:sz w:val="24"/>
                <w:szCs w:val="24"/>
              </w:rPr>
              <w:t>3001</w:t>
            </w:r>
          </w:p>
        </w:tc>
        <w:tc>
          <w:tcPr>
            <w:tcW w:w="3165" w:type="dxa"/>
            <w:gridSpan w:val="2"/>
          </w:tcPr>
          <w:p>
            <w:pPr>
              <w:rPr>
                <w:rFonts w:ascii="仿宋_GB2312" w:hAnsi="仿宋" w:eastAsia="仿宋_GB2312" w:cs="宋体"/>
                <w:sz w:val="24"/>
                <w:szCs w:val="24"/>
              </w:rPr>
            </w:pPr>
            <w:r>
              <w:rPr>
                <w:rFonts w:hint="eastAsia" w:ascii="仿宋_GB2312" w:hAnsi="仿宋" w:eastAsia="仿宋_GB2312" w:cs="宋体"/>
                <w:sz w:val="24"/>
                <w:szCs w:val="24"/>
              </w:rPr>
              <w:t>累计盈余</w:t>
            </w:r>
          </w:p>
        </w:tc>
        <w:tc>
          <w:tcPr>
            <w:tcW w:w="850" w:type="dxa"/>
            <w:vMerge w:val="continue"/>
            <w:vAlign w:val="center"/>
          </w:tcPr>
          <w:p>
            <w:pPr>
              <w:rPr>
                <w:rFonts w:ascii="仿宋_GB2312" w:hAnsi="仿宋" w:eastAsia="仿宋_GB2312" w:cs="宋体"/>
                <w:sz w:val="24"/>
                <w:szCs w:val="24"/>
              </w:rPr>
            </w:pPr>
          </w:p>
        </w:tc>
        <w:tc>
          <w:tcPr>
            <w:tcW w:w="2845" w:type="dxa"/>
            <w:vMerge w:val="continue"/>
            <w:vAlign w:val="center"/>
          </w:tcPr>
          <w:p>
            <w:pPr>
              <w:rPr>
                <w:rFonts w:ascii="仿宋_GB2312" w:hAnsi="仿宋" w:eastAsia="仿宋_GB2312"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22</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1611</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工程物资</w:t>
            </w:r>
          </w:p>
        </w:tc>
        <w:tc>
          <w:tcPr>
            <w:tcW w:w="850" w:type="dxa"/>
            <w:vMerge w:val="restart"/>
            <w:vAlign w:val="center"/>
          </w:tcPr>
          <w:p>
            <w:pPr>
              <w:rPr>
                <w:rFonts w:ascii="仿宋_GB2312" w:hAnsi="仿宋" w:eastAsia="仿宋_GB2312" w:cs="Times New Roman"/>
                <w:sz w:val="24"/>
                <w:szCs w:val="24"/>
              </w:rPr>
            </w:pPr>
            <w:r>
              <w:rPr>
                <w:rFonts w:ascii="仿宋_GB2312" w:hAnsi="仿宋" w:eastAsia="仿宋_GB2312" w:cs="宋体"/>
                <w:kern w:val="0"/>
                <w:sz w:val="24"/>
                <w:szCs w:val="24"/>
              </w:rPr>
              <w:t xml:space="preserve">1511 </w:t>
            </w:r>
          </w:p>
        </w:tc>
        <w:tc>
          <w:tcPr>
            <w:tcW w:w="2845" w:type="dxa"/>
            <w:vMerge w:val="restart"/>
            <w:vAlign w:val="center"/>
          </w:tcPr>
          <w:p>
            <w:pPr>
              <w:rPr>
                <w:rFonts w:ascii="仿宋_GB2312" w:hAnsi="仿宋" w:eastAsia="仿宋_GB2312" w:cs="Times New Roman"/>
                <w:sz w:val="24"/>
                <w:szCs w:val="24"/>
              </w:rPr>
            </w:pPr>
            <w:r>
              <w:rPr>
                <w:rFonts w:hint="eastAsia" w:ascii="仿宋_GB2312" w:hAnsi="仿宋" w:eastAsia="仿宋_GB2312" w:cs="宋体"/>
                <w:kern w:val="0"/>
                <w:sz w:val="24"/>
                <w:szCs w:val="24"/>
              </w:rPr>
              <w:t>在建工程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23</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1613</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在建工程</w:t>
            </w:r>
          </w:p>
        </w:tc>
        <w:tc>
          <w:tcPr>
            <w:tcW w:w="850" w:type="dxa"/>
            <w:vMerge w:val="continue"/>
          </w:tcPr>
          <w:p>
            <w:pPr>
              <w:rPr>
                <w:rFonts w:ascii="仿宋_GB2312" w:hAnsi="仿宋" w:eastAsia="仿宋_GB2312" w:cs="Times New Roman"/>
                <w:kern w:val="0"/>
                <w:sz w:val="24"/>
                <w:szCs w:val="24"/>
              </w:rPr>
            </w:pPr>
          </w:p>
        </w:tc>
        <w:tc>
          <w:tcPr>
            <w:tcW w:w="2845" w:type="dxa"/>
            <w:vMerge w:val="continue"/>
          </w:tcPr>
          <w:p>
            <w:pPr>
              <w:rPr>
                <w:rFonts w:ascii="仿宋_GB2312" w:hAnsi="仿宋" w:eastAsia="仿宋_GB2312" w:cs="Times New Roman"/>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24</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1214</w:t>
            </w:r>
          </w:p>
        </w:tc>
        <w:tc>
          <w:tcPr>
            <w:tcW w:w="3165" w:type="dxa"/>
            <w:gridSpan w:val="2"/>
          </w:tcPr>
          <w:p>
            <w:pPr>
              <w:rPr>
                <w:rFonts w:ascii="仿宋_GB2312" w:hAnsi="仿宋" w:eastAsia="仿宋_GB2312" w:cs="宋体"/>
                <w:sz w:val="24"/>
                <w:szCs w:val="24"/>
              </w:rPr>
            </w:pPr>
            <w:r>
              <w:rPr>
                <w:rFonts w:hint="eastAsia" w:ascii="仿宋_GB2312" w:hAnsi="仿宋" w:eastAsia="仿宋_GB2312" w:cs="宋体"/>
                <w:sz w:val="24"/>
                <w:szCs w:val="24"/>
              </w:rPr>
              <w:t>预付账款</w:t>
            </w:r>
          </w:p>
        </w:tc>
        <w:tc>
          <w:tcPr>
            <w:tcW w:w="850" w:type="dxa"/>
            <w:vMerge w:val="continue"/>
          </w:tcPr>
          <w:p>
            <w:pPr>
              <w:rPr>
                <w:rFonts w:ascii="仿宋_GB2312" w:hAnsi="仿宋" w:eastAsia="仿宋_GB2312" w:cs="Times New Roman"/>
                <w:kern w:val="0"/>
                <w:sz w:val="24"/>
                <w:szCs w:val="24"/>
              </w:rPr>
            </w:pPr>
          </w:p>
        </w:tc>
        <w:tc>
          <w:tcPr>
            <w:tcW w:w="2845" w:type="dxa"/>
            <w:vMerge w:val="continue"/>
          </w:tcPr>
          <w:p>
            <w:pPr>
              <w:rPr>
                <w:rFonts w:ascii="仿宋_GB2312" w:hAnsi="仿宋" w:eastAsia="仿宋_GB2312" w:cs="Times New Roman"/>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25</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1701</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无形资产</w:t>
            </w:r>
          </w:p>
        </w:tc>
        <w:tc>
          <w:tcPr>
            <w:tcW w:w="850" w:type="dxa"/>
          </w:tcPr>
          <w:p>
            <w:pPr>
              <w:rPr>
                <w:rFonts w:ascii="仿宋_GB2312" w:hAnsi="仿宋" w:eastAsia="仿宋_GB2312" w:cs="宋体"/>
                <w:sz w:val="24"/>
                <w:szCs w:val="24"/>
              </w:rPr>
            </w:pPr>
            <w:r>
              <w:rPr>
                <w:rFonts w:ascii="仿宋_GB2312" w:hAnsi="仿宋" w:eastAsia="仿宋_GB2312" w:cs="宋体"/>
                <w:sz w:val="24"/>
                <w:szCs w:val="24"/>
              </w:rPr>
              <w:t>1601</w:t>
            </w:r>
          </w:p>
        </w:tc>
        <w:tc>
          <w:tcPr>
            <w:tcW w:w="2845" w:type="dxa"/>
          </w:tcPr>
          <w:p>
            <w:pPr>
              <w:rPr>
                <w:rFonts w:ascii="仿宋_GB2312" w:hAnsi="仿宋" w:eastAsia="仿宋_GB2312" w:cs="Times New Roman"/>
                <w:sz w:val="24"/>
                <w:szCs w:val="24"/>
              </w:rPr>
            </w:pPr>
            <w:r>
              <w:rPr>
                <w:rFonts w:hint="eastAsia" w:ascii="仿宋_GB2312" w:hAnsi="仿宋" w:eastAsia="仿宋_GB2312" w:cs="宋体"/>
                <w:sz w:val="24"/>
                <w:szCs w:val="24"/>
              </w:rPr>
              <w:t>无形资产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26</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1702</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无形资产累计摊销</w:t>
            </w:r>
          </w:p>
        </w:tc>
        <w:tc>
          <w:tcPr>
            <w:tcW w:w="850" w:type="dxa"/>
          </w:tcPr>
          <w:p>
            <w:pPr>
              <w:rPr>
                <w:rFonts w:ascii="仿宋_GB2312" w:hAnsi="仿宋" w:eastAsia="仿宋_GB2312" w:cs="宋体"/>
                <w:sz w:val="24"/>
                <w:szCs w:val="24"/>
              </w:rPr>
            </w:pPr>
            <w:r>
              <w:rPr>
                <w:rFonts w:ascii="仿宋_GB2312" w:hAnsi="仿宋" w:eastAsia="仿宋_GB2312" w:cs="宋体"/>
                <w:sz w:val="24"/>
                <w:szCs w:val="24"/>
              </w:rPr>
              <w:t>1602</w:t>
            </w:r>
          </w:p>
        </w:tc>
        <w:tc>
          <w:tcPr>
            <w:tcW w:w="2845" w:type="dxa"/>
          </w:tcPr>
          <w:p>
            <w:pPr>
              <w:rPr>
                <w:rFonts w:ascii="仿宋_GB2312" w:hAnsi="仿宋" w:eastAsia="仿宋_GB2312" w:cs="Times New Roman"/>
                <w:sz w:val="24"/>
                <w:szCs w:val="24"/>
              </w:rPr>
            </w:pPr>
            <w:r>
              <w:rPr>
                <w:rFonts w:hint="eastAsia" w:ascii="仿宋_GB2312" w:hAnsi="仿宋" w:eastAsia="仿宋_GB2312" w:cs="宋体"/>
                <w:sz w:val="24"/>
                <w:szCs w:val="24"/>
              </w:rPr>
              <w:t>累计摊销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27</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1902</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待处理财产损溢</w:t>
            </w:r>
          </w:p>
        </w:tc>
        <w:tc>
          <w:tcPr>
            <w:tcW w:w="850" w:type="dxa"/>
            <w:vAlign w:val="center"/>
          </w:tcPr>
          <w:p>
            <w:pPr>
              <w:rPr>
                <w:rFonts w:ascii="仿宋_GB2312" w:hAnsi="仿宋" w:eastAsia="仿宋_GB2312" w:cs="宋体"/>
                <w:sz w:val="24"/>
                <w:szCs w:val="24"/>
              </w:rPr>
            </w:pPr>
            <w:r>
              <w:rPr>
                <w:rFonts w:ascii="仿宋_GB2312" w:hAnsi="仿宋" w:eastAsia="仿宋_GB2312" w:cs="宋体"/>
                <w:sz w:val="24"/>
                <w:szCs w:val="24"/>
              </w:rPr>
              <w:t>1701</w:t>
            </w:r>
          </w:p>
        </w:tc>
        <w:tc>
          <w:tcPr>
            <w:tcW w:w="2845" w:type="dxa"/>
            <w:vAlign w:val="center"/>
          </w:tcPr>
          <w:p>
            <w:pPr>
              <w:rPr>
                <w:rFonts w:ascii="仿宋_GB2312" w:hAnsi="仿宋" w:eastAsia="仿宋_GB2312" w:cs="Times New Roman"/>
                <w:sz w:val="24"/>
                <w:szCs w:val="24"/>
              </w:rPr>
            </w:pPr>
            <w:r>
              <w:rPr>
                <w:rFonts w:hint="eastAsia" w:ascii="仿宋_GB2312" w:hAnsi="仿宋" w:eastAsia="仿宋_GB2312" w:cs="宋体"/>
                <w:sz w:val="24"/>
                <w:szCs w:val="24"/>
              </w:rPr>
              <w:t>待处置资产损溢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4" w:type="dxa"/>
            <w:gridSpan w:val="7"/>
            <w:vAlign w:val="center"/>
          </w:tcPr>
          <w:p>
            <w:pPr>
              <w:jc w:val="center"/>
              <w:rPr>
                <w:rFonts w:ascii="仿宋_GB2312" w:hAnsi="仿宋" w:eastAsia="仿宋_GB2312" w:cs="Times New Roman"/>
                <w:sz w:val="24"/>
                <w:szCs w:val="24"/>
              </w:rPr>
            </w:pPr>
            <w:r>
              <w:rPr>
                <w:rFonts w:hint="eastAsia" w:ascii="仿宋_GB2312" w:hAnsi="仿宋" w:eastAsia="仿宋_GB2312" w:cs="宋体"/>
                <w:sz w:val="24"/>
                <w:szCs w:val="24"/>
              </w:rPr>
              <w:t>二、负债类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28</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2001</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短期借款</w:t>
            </w:r>
          </w:p>
        </w:tc>
        <w:tc>
          <w:tcPr>
            <w:tcW w:w="850" w:type="dxa"/>
            <w:vAlign w:val="center"/>
          </w:tcPr>
          <w:p>
            <w:pPr>
              <w:rPr>
                <w:rFonts w:ascii="仿宋_GB2312" w:hAnsi="仿宋" w:eastAsia="仿宋_GB2312" w:cs="宋体"/>
                <w:sz w:val="24"/>
                <w:szCs w:val="24"/>
              </w:rPr>
            </w:pPr>
            <w:r>
              <w:rPr>
                <w:rFonts w:ascii="仿宋_GB2312" w:hAnsi="仿宋" w:eastAsia="仿宋_GB2312" w:cs="宋体"/>
                <w:sz w:val="24"/>
                <w:szCs w:val="24"/>
              </w:rPr>
              <w:t>2001</w:t>
            </w:r>
          </w:p>
        </w:tc>
        <w:tc>
          <w:tcPr>
            <w:tcW w:w="2845" w:type="dxa"/>
            <w:vAlign w:val="center"/>
          </w:tcPr>
          <w:p>
            <w:pPr>
              <w:rPr>
                <w:rFonts w:ascii="仿宋_GB2312" w:hAnsi="仿宋" w:eastAsia="仿宋_GB2312" w:cs="Times New Roman"/>
                <w:sz w:val="24"/>
                <w:szCs w:val="24"/>
              </w:rPr>
            </w:pPr>
            <w:r>
              <w:rPr>
                <w:rFonts w:hint="eastAsia" w:ascii="仿宋_GB2312" w:hAnsi="仿宋" w:eastAsia="仿宋_GB2312" w:cs="宋体"/>
                <w:sz w:val="24"/>
                <w:szCs w:val="24"/>
              </w:rPr>
              <w:t>短期借款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29</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2101</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应交增值税</w:t>
            </w:r>
          </w:p>
        </w:tc>
        <w:tc>
          <w:tcPr>
            <w:tcW w:w="850" w:type="dxa"/>
            <w:vMerge w:val="restart"/>
            <w:vAlign w:val="center"/>
          </w:tcPr>
          <w:p>
            <w:pPr>
              <w:rPr>
                <w:rFonts w:ascii="仿宋_GB2312" w:hAnsi="仿宋" w:eastAsia="仿宋_GB2312" w:cs="宋体"/>
                <w:sz w:val="24"/>
                <w:szCs w:val="24"/>
              </w:rPr>
            </w:pPr>
            <w:r>
              <w:rPr>
                <w:rFonts w:ascii="仿宋_GB2312" w:hAnsi="仿宋" w:eastAsia="仿宋_GB2312" w:cs="宋体"/>
                <w:sz w:val="24"/>
                <w:szCs w:val="24"/>
              </w:rPr>
              <w:t>2101</w:t>
            </w:r>
          </w:p>
        </w:tc>
        <w:tc>
          <w:tcPr>
            <w:tcW w:w="2845" w:type="dxa"/>
            <w:vMerge w:val="restart"/>
            <w:vAlign w:val="center"/>
          </w:tcPr>
          <w:p>
            <w:pPr>
              <w:rPr>
                <w:rFonts w:ascii="仿宋_GB2312" w:hAnsi="仿宋" w:eastAsia="仿宋_GB2312" w:cs="宋体"/>
                <w:sz w:val="24"/>
                <w:szCs w:val="24"/>
              </w:rPr>
            </w:pPr>
            <w:r>
              <w:rPr>
                <w:rFonts w:hint="eastAsia" w:ascii="仿宋_GB2312" w:hAnsi="仿宋" w:eastAsia="仿宋_GB2312" w:cs="宋体"/>
                <w:sz w:val="24"/>
                <w:szCs w:val="24"/>
              </w:rPr>
              <w:t>应缴税费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30</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2102</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其他应交税费</w:t>
            </w:r>
          </w:p>
        </w:tc>
        <w:tc>
          <w:tcPr>
            <w:tcW w:w="850" w:type="dxa"/>
            <w:vMerge w:val="continue"/>
          </w:tcPr>
          <w:p>
            <w:pPr>
              <w:rPr>
                <w:rFonts w:ascii="仿宋_GB2312" w:hAnsi="仿宋" w:eastAsia="仿宋_GB2312" w:cs="宋体"/>
                <w:sz w:val="24"/>
                <w:szCs w:val="24"/>
              </w:rPr>
            </w:pPr>
          </w:p>
        </w:tc>
        <w:tc>
          <w:tcPr>
            <w:tcW w:w="2845" w:type="dxa"/>
            <w:vMerge w:val="continue"/>
          </w:tcPr>
          <w:p>
            <w:pPr>
              <w:rPr>
                <w:rFonts w:ascii="仿宋_GB2312" w:hAnsi="仿宋" w:eastAsia="仿宋_GB2312"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31</w:t>
            </w:r>
          </w:p>
        </w:tc>
        <w:tc>
          <w:tcPr>
            <w:tcW w:w="1155" w:type="dxa"/>
            <w:gridSpan w:val="2"/>
            <w:vMerge w:val="restart"/>
            <w:vAlign w:val="center"/>
          </w:tcPr>
          <w:p>
            <w:pPr>
              <w:rPr>
                <w:rFonts w:ascii="仿宋_GB2312" w:hAnsi="仿宋" w:eastAsia="仿宋_GB2312" w:cs="宋体"/>
                <w:sz w:val="24"/>
                <w:szCs w:val="24"/>
              </w:rPr>
            </w:pPr>
            <w:r>
              <w:rPr>
                <w:rFonts w:ascii="仿宋_GB2312" w:hAnsi="仿宋" w:eastAsia="仿宋_GB2312" w:cs="宋体"/>
                <w:sz w:val="24"/>
                <w:szCs w:val="24"/>
              </w:rPr>
              <w:t>2103</w:t>
            </w:r>
          </w:p>
        </w:tc>
        <w:tc>
          <w:tcPr>
            <w:tcW w:w="3165" w:type="dxa"/>
            <w:gridSpan w:val="2"/>
            <w:vMerge w:val="restart"/>
            <w:vAlign w:val="center"/>
          </w:tcPr>
          <w:p>
            <w:pPr>
              <w:rPr>
                <w:rFonts w:ascii="仿宋_GB2312" w:hAnsi="仿宋" w:eastAsia="仿宋_GB2312" w:cs="Times New Roman"/>
                <w:sz w:val="24"/>
                <w:szCs w:val="24"/>
              </w:rPr>
            </w:pPr>
            <w:r>
              <w:rPr>
                <w:rFonts w:hint="eastAsia" w:ascii="仿宋_GB2312" w:hAnsi="仿宋" w:eastAsia="仿宋_GB2312" w:cs="宋体"/>
                <w:sz w:val="24"/>
                <w:szCs w:val="24"/>
              </w:rPr>
              <w:t>应缴财政款</w:t>
            </w:r>
          </w:p>
        </w:tc>
        <w:tc>
          <w:tcPr>
            <w:tcW w:w="850" w:type="dxa"/>
          </w:tcPr>
          <w:p>
            <w:pPr>
              <w:rPr>
                <w:rFonts w:ascii="仿宋_GB2312" w:hAnsi="仿宋" w:eastAsia="仿宋_GB2312" w:cs="宋体"/>
                <w:sz w:val="24"/>
                <w:szCs w:val="24"/>
              </w:rPr>
            </w:pPr>
            <w:r>
              <w:rPr>
                <w:rFonts w:ascii="仿宋_GB2312" w:hAnsi="仿宋" w:eastAsia="仿宋_GB2312" w:cs="宋体"/>
                <w:sz w:val="24"/>
                <w:szCs w:val="24"/>
              </w:rPr>
              <w:t>2102</w:t>
            </w:r>
          </w:p>
        </w:tc>
        <w:tc>
          <w:tcPr>
            <w:tcW w:w="2845" w:type="dxa"/>
          </w:tcPr>
          <w:p>
            <w:pPr>
              <w:rPr>
                <w:rFonts w:ascii="仿宋_GB2312" w:hAnsi="仿宋" w:eastAsia="仿宋_GB2312" w:cs="Times New Roman"/>
                <w:sz w:val="24"/>
                <w:szCs w:val="24"/>
              </w:rPr>
            </w:pPr>
            <w:r>
              <w:rPr>
                <w:rFonts w:hint="eastAsia" w:ascii="仿宋_GB2312" w:hAnsi="仿宋" w:eastAsia="仿宋_GB2312" w:cs="宋体"/>
                <w:sz w:val="24"/>
                <w:szCs w:val="24"/>
              </w:rPr>
              <w:t>应缴国库款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32</w:t>
            </w:r>
          </w:p>
        </w:tc>
        <w:tc>
          <w:tcPr>
            <w:tcW w:w="1155" w:type="dxa"/>
            <w:gridSpan w:val="2"/>
            <w:vMerge w:val="continue"/>
          </w:tcPr>
          <w:p>
            <w:pPr>
              <w:rPr>
                <w:rFonts w:ascii="仿宋_GB2312" w:hAnsi="仿宋" w:eastAsia="仿宋_GB2312" w:cs="宋体"/>
                <w:sz w:val="24"/>
                <w:szCs w:val="24"/>
              </w:rPr>
            </w:pPr>
          </w:p>
        </w:tc>
        <w:tc>
          <w:tcPr>
            <w:tcW w:w="3165" w:type="dxa"/>
            <w:gridSpan w:val="2"/>
            <w:vMerge w:val="continue"/>
          </w:tcPr>
          <w:p>
            <w:pPr>
              <w:rPr>
                <w:rFonts w:ascii="仿宋_GB2312" w:hAnsi="仿宋" w:eastAsia="仿宋_GB2312" w:cs="Times New Roman"/>
                <w:sz w:val="24"/>
                <w:szCs w:val="24"/>
              </w:rPr>
            </w:pPr>
          </w:p>
        </w:tc>
        <w:tc>
          <w:tcPr>
            <w:tcW w:w="850" w:type="dxa"/>
          </w:tcPr>
          <w:p>
            <w:pPr>
              <w:rPr>
                <w:rFonts w:ascii="仿宋_GB2312" w:hAnsi="仿宋" w:eastAsia="仿宋_GB2312" w:cs="宋体"/>
                <w:sz w:val="24"/>
                <w:szCs w:val="24"/>
              </w:rPr>
            </w:pPr>
            <w:r>
              <w:rPr>
                <w:rFonts w:ascii="仿宋_GB2312" w:hAnsi="仿宋" w:eastAsia="仿宋_GB2312" w:cs="宋体"/>
                <w:sz w:val="24"/>
                <w:szCs w:val="24"/>
              </w:rPr>
              <w:t>2103</w:t>
            </w:r>
          </w:p>
        </w:tc>
        <w:tc>
          <w:tcPr>
            <w:tcW w:w="2845" w:type="dxa"/>
          </w:tcPr>
          <w:p>
            <w:pPr>
              <w:rPr>
                <w:rFonts w:ascii="仿宋_GB2312" w:hAnsi="仿宋" w:eastAsia="仿宋_GB2312" w:cs="Times New Roman"/>
                <w:sz w:val="24"/>
                <w:szCs w:val="24"/>
              </w:rPr>
            </w:pPr>
            <w:r>
              <w:rPr>
                <w:rFonts w:hint="eastAsia" w:ascii="仿宋_GB2312" w:hAnsi="仿宋" w:eastAsia="仿宋_GB2312" w:cs="宋体"/>
                <w:sz w:val="24"/>
                <w:szCs w:val="24"/>
              </w:rPr>
              <w:t>应缴财政专户款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33</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2201</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应付职工薪酬</w:t>
            </w:r>
          </w:p>
        </w:tc>
        <w:tc>
          <w:tcPr>
            <w:tcW w:w="850" w:type="dxa"/>
          </w:tcPr>
          <w:p>
            <w:pPr>
              <w:rPr>
                <w:rFonts w:ascii="仿宋_GB2312" w:hAnsi="仿宋" w:eastAsia="仿宋_GB2312" w:cs="宋体"/>
                <w:sz w:val="24"/>
                <w:szCs w:val="24"/>
              </w:rPr>
            </w:pPr>
            <w:r>
              <w:rPr>
                <w:rFonts w:ascii="仿宋_GB2312" w:hAnsi="仿宋" w:eastAsia="仿宋_GB2312" w:cs="宋体"/>
                <w:sz w:val="24"/>
                <w:szCs w:val="24"/>
              </w:rPr>
              <w:t>2201</w:t>
            </w:r>
          </w:p>
        </w:tc>
        <w:tc>
          <w:tcPr>
            <w:tcW w:w="2845" w:type="dxa"/>
          </w:tcPr>
          <w:p>
            <w:pPr>
              <w:rPr>
                <w:rFonts w:ascii="仿宋_GB2312" w:hAnsi="仿宋" w:eastAsia="仿宋_GB2312" w:cs="Times New Roman"/>
                <w:sz w:val="24"/>
                <w:szCs w:val="24"/>
              </w:rPr>
            </w:pPr>
            <w:r>
              <w:rPr>
                <w:rFonts w:hint="eastAsia" w:ascii="仿宋_GB2312" w:hAnsi="仿宋" w:eastAsia="仿宋_GB2312" w:cs="宋体"/>
                <w:sz w:val="24"/>
                <w:szCs w:val="24"/>
              </w:rPr>
              <w:t>应付职工薪酬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34</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2301</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应付票据</w:t>
            </w:r>
          </w:p>
        </w:tc>
        <w:tc>
          <w:tcPr>
            <w:tcW w:w="850" w:type="dxa"/>
          </w:tcPr>
          <w:p>
            <w:pPr>
              <w:rPr>
                <w:rFonts w:ascii="仿宋_GB2312" w:hAnsi="仿宋" w:eastAsia="仿宋_GB2312" w:cs="宋体"/>
                <w:sz w:val="24"/>
                <w:szCs w:val="24"/>
              </w:rPr>
            </w:pPr>
            <w:r>
              <w:rPr>
                <w:rFonts w:ascii="仿宋_GB2312" w:hAnsi="仿宋" w:eastAsia="仿宋_GB2312" w:cs="宋体"/>
                <w:sz w:val="24"/>
                <w:szCs w:val="24"/>
              </w:rPr>
              <w:t>2301</w:t>
            </w:r>
          </w:p>
        </w:tc>
        <w:tc>
          <w:tcPr>
            <w:tcW w:w="2845" w:type="dxa"/>
          </w:tcPr>
          <w:p>
            <w:pPr>
              <w:rPr>
                <w:rFonts w:ascii="仿宋_GB2312" w:hAnsi="仿宋" w:eastAsia="仿宋_GB2312" w:cs="Times New Roman"/>
                <w:sz w:val="24"/>
                <w:szCs w:val="24"/>
              </w:rPr>
            </w:pPr>
            <w:r>
              <w:rPr>
                <w:rFonts w:hint="eastAsia" w:ascii="仿宋_GB2312" w:hAnsi="仿宋" w:eastAsia="仿宋_GB2312" w:cs="Times New Roman"/>
                <w:sz w:val="24"/>
                <w:szCs w:val="24"/>
              </w:rPr>
              <w:t>应付票据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35</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2302</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应付账款</w:t>
            </w:r>
          </w:p>
        </w:tc>
        <w:tc>
          <w:tcPr>
            <w:tcW w:w="850" w:type="dxa"/>
          </w:tcPr>
          <w:p>
            <w:pPr>
              <w:rPr>
                <w:rFonts w:ascii="仿宋_GB2312" w:hAnsi="仿宋" w:eastAsia="仿宋_GB2312" w:cs="宋体"/>
                <w:sz w:val="24"/>
                <w:szCs w:val="24"/>
              </w:rPr>
            </w:pPr>
            <w:r>
              <w:rPr>
                <w:rFonts w:ascii="仿宋_GB2312" w:hAnsi="仿宋" w:eastAsia="仿宋_GB2312" w:cs="宋体"/>
                <w:sz w:val="24"/>
                <w:szCs w:val="24"/>
              </w:rPr>
              <w:t>2302</w:t>
            </w:r>
          </w:p>
        </w:tc>
        <w:tc>
          <w:tcPr>
            <w:tcW w:w="2845" w:type="dxa"/>
          </w:tcPr>
          <w:p>
            <w:pPr>
              <w:rPr>
                <w:rFonts w:ascii="仿宋_GB2312" w:hAnsi="仿宋" w:eastAsia="仿宋_GB2312" w:cs="Times New Roman"/>
                <w:sz w:val="24"/>
                <w:szCs w:val="24"/>
              </w:rPr>
            </w:pPr>
            <w:r>
              <w:rPr>
                <w:rFonts w:hint="eastAsia" w:ascii="仿宋_GB2312" w:hAnsi="仿宋" w:eastAsia="仿宋_GB2312" w:cs="Times New Roman"/>
                <w:sz w:val="24"/>
                <w:szCs w:val="24"/>
              </w:rPr>
              <w:t>应付账款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36</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2305</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预收账款</w:t>
            </w:r>
          </w:p>
        </w:tc>
        <w:tc>
          <w:tcPr>
            <w:tcW w:w="850" w:type="dxa"/>
          </w:tcPr>
          <w:p>
            <w:pPr>
              <w:rPr>
                <w:rFonts w:ascii="仿宋_GB2312" w:hAnsi="仿宋" w:eastAsia="仿宋_GB2312" w:cs="宋体"/>
                <w:sz w:val="24"/>
                <w:szCs w:val="24"/>
              </w:rPr>
            </w:pPr>
            <w:r>
              <w:rPr>
                <w:rFonts w:ascii="仿宋_GB2312" w:hAnsi="仿宋" w:eastAsia="仿宋_GB2312" w:cs="宋体"/>
                <w:sz w:val="24"/>
                <w:szCs w:val="24"/>
              </w:rPr>
              <w:t>2303</w:t>
            </w:r>
          </w:p>
        </w:tc>
        <w:tc>
          <w:tcPr>
            <w:tcW w:w="2845" w:type="dxa"/>
          </w:tcPr>
          <w:p>
            <w:pPr>
              <w:rPr>
                <w:rFonts w:ascii="仿宋_GB2312" w:hAnsi="仿宋" w:eastAsia="仿宋_GB2312" w:cs="Times New Roman"/>
                <w:sz w:val="24"/>
                <w:szCs w:val="24"/>
              </w:rPr>
            </w:pPr>
            <w:r>
              <w:rPr>
                <w:rFonts w:hint="eastAsia" w:ascii="仿宋_GB2312" w:hAnsi="仿宋" w:eastAsia="仿宋_GB2312" w:cs="Times New Roman"/>
                <w:sz w:val="24"/>
                <w:szCs w:val="24"/>
              </w:rPr>
              <w:t>预收账款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37</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2307</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其他应付款</w:t>
            </w:r>
          </w:p>
        </w:tc>
        <w:tc>
          <w:tcPr>
            <w:tcW w:w="850" w:type="dxa"/>
            <w:vMerge w:val="restart"/>
            <w:vAlign w:val="center"/>
          </w:tcPr>
          <w:p>
            <w:pPr>
              <w:rPr>
                <w:rFonts w:ascii="仿宋_GB2312" w:hAnsi="仿宋" w:eastAsia="仿宋_GB2312" w:cs="宋体"/>
                <w:sz w:val="24"/>
                <w:szCs w:val="24"/>
              </w:rPr>
            </w:pPr>
            <w:r>
              <w:rPr>
                <w:rFonts w:ascii="仿宋_GB2312" w:hAnsi="仿宋" w:eastAsia="仿宋_GB2312" w:cs="宋体"/>
                <w:sz w:val="24"/>
                <w:szCs w:val="24"/>
              </w:rPr>
              <w:t>2305</w:t>
            </w:r>
          </w:p>
        </w:tc>
        <w:tc>
          <w:tcPr>
            <w:tcW w:w="2845" w:type="dxa"/>
            <w:vMerge w:val="restart"/>
            <w:vAlign w:val="center"/>
          </w:tcPr>
          <w:p>
            <w:pPr>
              <w:rPr>
                <w:rFonts w:ascii="仿宋_GB2312" w:hAnsi="仿宋" w:eastAsia="仿宋_GB2312" w:cs="Times New Roman"/>
                <w:sz w:val="24"/>
                <w:szCs w:val="24"/>
              </w:rPr>
            </w:pPr>
            <w:r>
              <w:rPr>
                <w:rFonts w:hint="eastAsia" w:ascii="仿宋_GB2312" w:hAnsi="仿宋" w:eastAsia="仿宋_GB2312" w:cs="宋体"/>
                <w:sz w:val="24"/>
                <w:szCs w:val="24"/>
              </w:rPr>
              <w:t>其他应付款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9" w:type="dxa"/>
            <w:vMerge w:val="restart"/>
            <w:vAlign w:val="center"/>
          </w:tcPr>
          <w:p>
            <w:pPr>
              <w:jc w:val="center"/>
              <w:rPr>
                <w:rFonts w:ascii="仿宋_GB2312" w:hAnsi="仿宋" w:eastAsia="仿宋_GB2312" w:cs="宋体"/>
                <w:sz w:val="24"/>
                <w:szCs w:val="24"/>
              </w:rPr>
            </w:pPr>
            <w:r>
              <w:rPr>
                <w:rFonts w:ascii="仿宋_GB2312" w:hAnsi="仿宋" w:eastAsia="仿宋_GB2312" w:cs="宋体"/>
                <w:sz w:val="24"/>
                <w:szCs w:val="24"/>
              </w:rPr>
              <w:t>38</w:t>
            </w:r>
          </w:p>
        </w:tc>
        <w:tc>
          <w:tcPr>
            <w:tcW w:w="1155" w:type="dxa"/>
            <w:gridSpan w:val="2"/>
            <w:vMerge w:val="restart"/>
            <w:vAlign w:val="center"/>
          </w:tcPr>
          <w:p>
            <w:pPr>
              <w:rPr>
                <w:rFonts w:ascii="仿宋_GB2312" w:hAnsi="仿宋" w:eastAsia="仿宋_GB2312" w:cs="宋体"/>
                <w:sz w:val="24"/>
                <w:szCs w:val="24"/>
              </w:rPr>
            </w:pPr>
            <w:r>
              <w:rPr>
                <w:rFonts w:ascii="仿宋_GB2312" w:hAnsi="仿宋" w:eastAsia="仿宋_GB2312" w:cs="宋体"/>
                <w:sz w:val="24"/>
                <w:szCs w:val="24"/>
              </w:rPr>
              <w:t>2901</w:t>
            </w:r>
          </w:p>
        </w:tc>
        <w:tc>
          <w:tcPr>
            <w:tcW w:w="3165" w:type="dxa"/>
            <w:gridSpan w:val="2"/>
            <w:vMerge w:val="restart"/>
            <w:vAlign w:val="center"/>
          </w:tcPr>
          <w:p>
            <w:pPr>
              <w:rPr>
                <w:rFonts w:ascii="仿宋_GB2312" w:hAnsi="仿宋" w:eastAsia="仿宋_GB2312" w:cs="Times New Roman"/>
                <w:sz w:val="24"/>
                <w:szCs w:val="24"/>
              </w:rPr>
            </w:pPr>
            <w:r>
              <w:rPr>
                <w:rFonts w:hint="eastAsia" w:ascii="仿宋_GB2312" w:hAnsi="仿宋" w:eastAsia="仿宋_GB2312" w:cs="宋体"/>
                <w:sz w:val="24"/>
                <w:szCs w:val="24"/>
              </w:rPr>
              <w:t>受托代理负债</w:t>
            </w:r>
          </w:p>
        </w:tc>
        <w:tc>
          <w:tcPr>
            <w:tcW w:w="850" w:type="dxa"/>
            <w:vMerge w:val="continue"/>
            <w:vAlign w:val="center"/>
          </w:tcPr>
          <w:p>
            <w:pPr>
              <w:rPr>
                <w:rFonts w:ascii="仿宋_GB2312" w:hAnsi="仿宋" w:eastAsia="仿宋_GB2312" w:cs="宋体"/>
                <w:sz w:val="24"/>
                <w:szCs w:val="24"/>
              </w:rPr>
            </w:pPr>
          </w:p>
        </w:tc>
        <w:tc>
          <w:tcPr>
            <w:tcW w:w="2845" w:type="dxa"/>
            <w:vMerge w:val="continue"/>
            <w:vAlign w:val="center"/>
          </w:tcPr>
          <w:p>
            <w:pPr>
              <w:rPr>
                <w:rFonts w:ascii="仿宋_GB2312" w:hAnsi="仿宋" w:eastAsia="仿宋_GB2312"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Merge w:val="continue"/>
            <w:vAlign w:val="center"/>
          </w:tcPr>
          <w:p>
            <w:pPr>
              <w:jc w:val="center"/>
              <w:rPr>
                <w:rFonts w:ascii="仿宋_GB2312" w:hAnsi="仿宋" w:eastAsia="仿宋_GB2312" w:cs="宋体"/>
                <w:sz w:val="24"/>
                <w:szCs w:val="24"/>
              </w:rPr>
            </w:pPr>
          </w:p>
        </w:tc>
        <w:tc>
          <w:tcPr>
            <w:tcW w:w="1155" w:type="dxa"/>
            <w:gridSpan w:val="2"/>
            <w:vMerge w:val="continue"/>
          </w:tcPr>
          <w:p>
            <w:pPr>
              <w:rPr>
                <w:rFonts w:ascii="仿宋_GB2312" w:hAnsi="仿宋" w:eastAsia="仿宋_GB2312" w:cs="宋体"/>
                <w:sz w:val="24"/>
                <w:szCs w:val="24"/>
              </w:rPr>
            </w:pPr>
          </w:p>
        </w:tc>
        <w:tc>
          <w:tcPr>
            <w:tcW w:w="3165" w:type="dxa"/>
            <w:gridSpan w:val="2"/>
            <w:vMerge w:val="continue"/>
          </w:tcPr>
          <w:p>
            <w:pPr>
              <w:rPr>
                <w:rFonts w:ascii="仿宋_GB2312" w:hAnsi="仿宋" w:eastAsia="仿宋_GB2312" w:cs="宋体"/>
                <w:sz w:val="24"/>
                <w:szCs w:val="24"/>
              </w:rPr>
            </w:pPr>
          </w:p>
        </w:tc>
        <w:tc>
          <w:tcPr>
            <w:tcW w:w="850" w:type="dxa"/>
            <w:vAlign w:val="center"/>
          </w:tcPr>
          <w:p>
            <w:pPr>
              <w:rPr>
                <w:rFonts w:ascii="仿宋_GB2312" w:hAnsi="仿宋" w:eastAsia="仿宋_GB2312" w:cs="宋体"/>
                <w:sz w:val="24"/>
                <w:szCs w:val="24"/>
              </w:rPr>
            </w:pPr>
            <w:r>
              <w:rPr>
                <w:rFonts w:ascii="仿宋_GB2312" w:hAnsi="仿宋" w:eastAsia="仿宋_GB2312" w:cs="宋体"/>
                <w:sz w:val="24"/>
                <w:szCs w:val="24"/>
              </w:rPr>
              <w:t>3101</w:t>
            </w:r>
          </w:p>
        </w:tc>
        <w:tc>
          <w:tcPr>
            <w:tcW w:w="2845" w:type="dxa"/>
            <w:vAlign w:val="center"/>
          </w:tcPr>
          <w:p>
            <w:pPr>
              <w:rPr>
                <w:rFonts w:ascii="仿宋_GB2312" w:hAnsi="仿宋" w:eastAsia="仿宋_GB2312" w:cs="宋体"/>
                <w:sz w:val="24"/>
                <w:szCs w:val="24"/>
              </w:rPr>
            </w:pPr>
            <w:r>
              <w:rPr>
                <w:rFonts w:hint="eastAsia" w:ascii="仿宋_GB2312" w:hAnsi="仿宋" w:eastAsia="仿宋_GB2312" w:cs="宋体"/>
                <w:sz w:val="24"/>
                <w:szCs w:val="24"/>
              </w:rPr>
              <w:t>非流动资产基金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39</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2501</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长期借款</w:t>
            </w:r>
          </w:p>
        </w:tc>
        <w:tc>
          <w:tcPr>
            <w:tcW w:w="850" w:type="dxa"/>
            <w:vAlign w:val="center"/>
          </w:tcPr>
          <w:p>
            <w:pPr>
              <w:rPr>
                <w:rFonts w:ascii="仿宋_GB2312" w:hAnsi="仿宋" w:eastAsia="仿宋_GB2312" w:cs="宋体"/>
                <w:sz w:val="24"/>
                <w:szCs w:val="24"/>
              </w:rPr>
            </w:pPr>
            <w:r>
              <w:rPr>
                <w:rFonts w:ascii="仿宋_GB2312" w:hAnsi="仿宋" w:eastAsia="仿宋_GB2312" w:cs="宋体"/>
                <w:sz w:val="24"/>
                <w:szCs w:val="24"/>
              </w:rPr>
              <w:t>2401</w:t>
            </w:r>
          </w:p>
        </w:tc>
        <w:tc>
          <w:tcPr>
            <w:tcW w:w="2845" w:type="dxa"/>
            <w:vAlign w:val="center"/>
          </w:tcPr>
          <w:p>
            <w:pPr>
              <w:rPr>
                <w:rFonts w:ascii="仿宋_GB2312" w:hAnsi="仿宋" w:eastAsia="仿宋_GB2312" w:cs="Times New Roman"/>
                <w:sz w:val="24"/>
                <w:szCs w:val="24"/>
              </w:rPr>
            </w:pPr>
            <w:r>
              <w:rPr>
                <w:rFonts w:hint="eastAsia" w:ascii="仿宋_GB2312" w:hAnsi="仿宋" w:eastAsia="仿宋_GB2312" w:cs="宋体"/>
                <w:sz w:val="24"/>
                <w:szCs w:val="24"/>
              </w:rPr>
              <w:t>长期借款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40</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2502</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长期应付款</w:t>
            </w:r>
          </w:p>
        </w:tc>
        <w:tc>
          <w:tcPr>
            <w:tcW w:w="850" w:type="dxa"/>
          </w:tcPr>
          <w:p>
            <w:pPr>
              <w:rPr>
                <w:rFonts w:ascii="仿宋_GB2312" w:hAnsi="仿宋" w:eastAsia="仿宋_GB2312" w:cs="宋体"/>
                <w:sz w:val="24"/>
                <w:szCs w:val="24"/>
              </w:rPr>
            </w:pPr>
            <w:r>
              <w:rPr>
                <w:rFonts w:ascii="仿宋_GB2312" w:hAnsi="仿宋" w:eastAsia="仿宋_GB2312" w:cs="宋体"/>
                <w:sz w:val="24"/>
                <w:szCs w:val="24"/>
              </w:rPr>
              <w:t>2402</w:t>
            </w:r>
          </w:p>
        </w:tc>
        <w:tc>
          <w:tcPr>
            <w:tcW w:w="2845" w:type="dxa"/>
          </w:tcPr>
          <w:p>
            <w:pPr>
              <w:rPr>
                <w:rFonts w:ascii="仿宋_GB2312" w:hAnsi="仿宋" w:eastAsia="仿宋_GB2312" w:cs="Times New Roman"/>
                <w:sz w:val="24"/>
                <w:szCs w:val="24"/>
              </w:rPr>
            </w:pPr>
            <w:r>
              <w:rPr>
                <w:rFonts w:hint="eastAsia" w:ascii="仿宋_GB2312" w:hAnsi="仿宋" w:eastAsia="仿宋_GB2312" w:cs="宋体"/>
                <w:sz w:val="24"/>
                <w:szCs w:val="24"/>
              </w:rPr>
              <w:t>长期应付款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41</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2901</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受托代理负债</w:t>
            </w:r>
          </w:p>
        </w:tc>
        <w:tc>
          <w:tcPr>
            <w:tcW w:w="850" w:type="dxa"/>
            <w:vMerge w:val="restart"/>
            <w:vAlign w:val="center"/>
          </w:tcPr>
          <w:p>
            <w:pPr>
              <w:jc w:val="left"/>
              <w:rPr>
                <w:rFonts w:ascii="仿宋_GB2312" w:hAnsi="仿宋" w:eastAsia="仿宋_GB2312" w:cs="宋体"/>
                <w:sz w:val="24"/>
                <w:szCs w:val="24"/>
              </w:rPr>
            </w:pPr>
            <w:r>
              <w:rPr>
                <w:rFonts w:ascii="仿宋_GB2312" w:hAnsi="仿宋" w:eastAsia="仿宋_GB2312" w:cs="宋体"/>
                <w:sz w:val="24"/>
                <w:szCs w:val="24"/>
              </w:rPr>
              <w:t>2501</w:t>
            </w:r>
          </w:p>
        </w:tc>
        <w:tc>
          <w:tcPr>
            <w:tcW w:w="2845" w:type="dxa"/>
            <w:vMerge w:val="restart"/>
            <w:vAlign w:val="center"/>
          </w:tcPr>
          <w:p>
            <w:pPr>
              <w:rPr>
                <w:rFonts w:ascii="仿宋_GB2312" w:hAnsi="仿宋" w:eastAsia="仿宋_GB2312" w:cs="宋体"/>
                <w:sz w:val="24"/>
                <w:szCs w:val="24"/>
              </w:rPr>
            </w:pPr>
            <w:r>
              <w:rPr>
                <w:rFonts w:hint="eastAsia" w:ascii="仿宋_GB2312" w:hAnsi="仿宋" w:eastAsia="仿宋_GB2312" w:cs="宋体"/>
                <w:sz w:val="24"/>
                <w:szCs w:val="24"/>
              </w:rPr>
              <w:t>代管款项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42</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2307</w:t>
            </w:r>
          </w:p>
        </w:tc>
        <w:tc>
          <w:tcPr>
            <w:tcW w:w="3165" w:type="dxa"/>
            <w:gridSpan w:val="2"/>
          </w:tcPr>
          <w:p>
            <w:pPr>
              <w:rPr>
                <w:rFonts w:ascii="仿宋_GB2312" w:hAnsi="仿宋" w:eastAsia="仿宋_GB2312" w:cs="宋体"/>
                <w:sz w:val="24"/>
                <w:szCs w:val="24"/>
              </w:rPr>
            </w:pPr>
            <w:r>
              <w:rPr>
                <w:rFonts w:hint="eastAsia" w:ascii="仿宋_GB2312" w:hAnsi="仿宋" w:eastAsia="仿宋_GB2312" w:cs="宋体"/>
                <w:sz w:val="24"/>
                <w:szCs w:val="24"/>
              </w:rPr>
              <w:t>其他应付款</w:t>
            </w:r>
          </w:p>
        </w:tc>
        <w:tc>
          <w:tcPr>
            <w:tcW w:w="850" w:type="dxa"/>
            <w:vMerge w:val="continue"/>
          </w:tcPr>
          <w:p>
            <w:pPr>
              <w:rPr>
                <w:rFonts w:ascii="仿宋_GB2312" w:hAnsi="仿宋" w:eastAsia="仿宋_GB2312" w:cs="宋体"/>
                <w:sz w:val="24"/>
                <w:szCs w:val="24"/>
              </w:rPr>
            </w:pPr>
          </w:p>
        </w:tc>
        <w:tc>
          <w:tcPr>
            <w:tcW w:w="2845" w:type="dxa"/>
            <w:vMerge w:val="continue"/>
          </w:tcPr>
          <w:p>
            <w:pPr>
              <w:rPr>
                <w:rFonts w:ascii="仿宋_GB2312" w:hAnsi="仿宋" w:eastAsia="仿宋_GB2312"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43</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2502</w:t>
            </w:r>
          </w:p>
        </w:tc>
        <w:tc>
          <w:tcPr>
            <w:tcW w:w="3165" w:type="dxa"/>
            <w:gridSpan w:val="2"/>
          </w:tcPr>
          <w:p>
            <w:pPr>
              <w:rPr>
                <w:rFonts w:ascii="仿宋_GB2312" w:hAnsi="仿宋" w:eastAsia="仿宋_GB2312" w:cs="宋体"/>
                <w:sz w:val="24"/>
                <w:szCs w:val="24"/>
              </w:rPr>
            </w:pPr>
            <w:r>
              <w:rPr>
                <w:rFonts w:hint="eastAsia" w:ascii="仿宋_GB2312" w:hAnsi="仿宋" w:eastAsia="仿宋_GB2312" w:cs="宋体"/>
                <w:sz w:val="24"/>
                <w:szCs w:val="24"/>
              </w:rPr>
              <w:t>长期应付款</w:t>
            </w:r>
          </w:p>
        </w:tc>
        <w:tc>
          <w:tcPr>
            <w:tcW w:w="850" w:type="dxa"/>
            <w:vMerge w:val="continue"/>
          </w:tcPr>
          <w:p>
            <w:pPr>
              <w:rPr>
                <w:rFonts w:ascii="仿宋_GB2312" w:hAnsi="仿宋" w:eastAsia="仿宋_GB2312" w:cs="宋体"/>
                <w:sz w:val="24"/>
                <w:szCs w:val="24"/>
              </w:rPr>
            </w:pPr>
          </w:p>
        </w:tc>
        <w:tc>
          <w:tcPr>
            <w:tcW w:w="2845" w:type="dxa"/>
            <w:vMerge w:val="continue"/>
          </w:tcPr>
          <w:p>
            <w:pPr>
              <w:rPr>
                <w:rFonts w:ascii="仿宋_GB2312" w:hAnsi="仿宋" w:eastAsia="仿宋_GB2312"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4" w:type="dxa"/>
            <w:gridSpan w:val="7"/>
            <w:vAlign w:val="center"/>
          </w:tcPr>
          <w:p>
            <w:pPr>
              <w:jc w:val="center"/>
              <w:rPr>
                <w:rFonts w:ascii="仿宋_GB2312" w:hAnsi="仿宋" w:eastAsia="仿宋_GB2312" w:cs="Times New Roman"/>
                <w:sz w:val="24"/>
                <w:szCs w:val="24"/>
              </w:rPr>
            </w:pPr>
            <w:r>
              <w:rPr>
                <w:rFonts w:hint="eastAsia" w:ascii="仿宋_GB2312" w:hAnsi="仿宋" w:eastAsia="仿宋_GB2312" w:cs="宋体"/>
                <w:sz w:val="24"/>
                <w:szCs w:val="24"/>
              </w:rPr>
              <w:t>三、净资产类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Times New Roman"/>
                <w:sz w:val="24"/>
                <w:szCs w:val="24"/>
              </w:rPr>
            </w:pPr>
            <w:r>
              <w:rPr>
                <w:rFonts w:ascii="仿宋_GB2312" w:hAnsi="仿宋" w:eastAsia="仿宋_GB2312" w:cs="Times New Roman"/>
                <w:sz w:val="24"/>
                <w:szCs w:val="24"/>
              </w:rPr>
              <w:t>44</w:t>
            </w:r>
          </w:p>
        </w:tc>
        <w:tc>
          <w:tcPr>
            <w:tcW w:w="1155" w:type="dxa"/>
            <w:gridSpan w:val="2"/>
            <w:vMerge w:val="restart"/>
            <w:vAlign w:val="center"/>
          </w:tcPr>
          <w:p>
            <w:pPr>
              <w:rPr>
                <w:rFonts w:ascii="仿宋_GB2312" w:hAnsi="仿宋" w:eastAsia="仿宋_GB2312" w:cs="宋体"/>
                <w:sz w:val="24"/>
                <w:szCs w:val="24"/>
              </w:rPr>
            </w:pPr>
            <w:r>
              <w:rPr>
                <w:rFonts w:ascii="仿宋_GB2312" w:hAnsi="仿宋" w:eastAsia="仿宋_GB2312" w:cs="宋体"/>
                <w:sz w:val="24"/>
                <w:szCs w:val="24"/>
              </w:rPr>
              <w:t>3001</w:t>
            </w:r>
          </w:p>
        </w:tc>
        <w:tc>
          <w:tcPr>
            <w:tcW w:w="3165" w:type="dxa"/>
            <w:gridSpan w:val="2"/>
            <w:vMerge w:val="restart"/>
            <w:vAlign w:val="center"/>
          </w:tcPr>
          <w:p>
            <w:pPr>
              <w:rPr>
                <w:rFonts w:ascii="仿宋_GB2312" w:hAnsi="仿宋" w:eastAsia="仿宋_GB2312" w:cs="Times New Roman"/>
                <w:sz w:val="24"/>
                <w:szCs w:val="24"/>
              </w:rPr>
            </w:pPr>
            <w:r>
              <w:rPr>
                <w:rFonts w:hint="eastAsia" w:ascii="仿宋_GB2312" w:hAnsi="仿宋" w:eastAsia="仿宋_GB2312" w:cs="宋体"/>
                <w:sz w:val="24"/>
                <w:szCs w:val="24"/>
              </w:rPr>
              <w:t>累计盈余</w:t>
            </w:r>
          </w:p>
        </w:tc>
        <w:tc>
          <w:tcPr>
            <w:tcW w:w="850" w:type="dxa"/>
          </w:tcPr>
          <w:p>
            <w:pPr>
              <w:rPr>
                <w:rFonts w:ascii="仿宋_GB2312" w:hAnsi="仿宋" w:eastAsia="仿宋_GB2312" w:cs="宋体"/>
                <w:sz w:val="24"/>
                <w:szCs w:val="24"/>
              </w:rPr>
            </w:pPr>
            <w:r>
              <w:rPr>
                <w:rFonts w:ascii="仿宋_GB2312" w:hAnsi="仿宋" w:eastAsia="仿宋_GB2312" w:cs="宋体"/>
                <w:sz w:val="24"/>
                <w:szCs w:val="24"/>
              </w:rPr>
              <w:t>3001</w:t>
            </w:r>
          </w:p>
        </w:tc>
        <w:tc>
          <w:tcPr>
            <w:tcW w:w="2845" w:type="dxa"/>
          </w:tcPr>
          <w:p>
            <w:pPr>
              <w:rPr>
                <w:rFonts w:ascii="仿宋_GB2312" w:hAnsi="仿宋" w:eastAsia="仿宋_GB2312" w:cs="Times New Roman"/>
                <w:sz w:val="24"/>
                <w:szCs w:val="24"/>
              </w:rPr>
            </w:pPr>
            <w:r>
              <w:rPr>
                <w:rFonts w:hint="eastAsia" w:ascii="仿宋_GB2312" w:hAnsi="仿宋" w:eastAsia="仿宋_GB2312" w:cs="宋体"/>
                <w:sz w:val="24"/>
                <w:szCs w:val="24"/>
              </w:rPr>
              <w:t>事业基金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45</w:t>
            </w:r>
          </w:p>
        </w:tc>
        <w:tc>
          <w:tcPr>
            <w:tcW w:w="1155" w:type="dxa"/>
            <w:gridSpan w:val="2"/>
            <w:vMerge w:val="continue"/>
          </w:tcPr>
          <w:p>
            <w:pPr>
              <w:rPr>
                <w:rFonts w:ascii="仿宋_GB2312" w:hAnsi="仿宋" w:eastAsia="仿宋_GB2312" w:cs="Times New Roman"/>
                <w:sz w:val="24"/>
                <w:szCs w:val="24"/>
              </w:rPr>
            </w:pPr>
          </w:p>
        </w:tc>
        <w:tc>
          <w:tcPr>
            <w:tcW w:w="3165" w:type="dxa"/>
            <w:gridSpan w:val="2"/>
            <w:vMerge w:val="continue"/>
          </w:tcPr>
          <w:p>
            <w:pPr>
              <w:rPr>
                <w:rFonts w:ascii="仿宋_GB2312" w:hAnsi="仿宋" w:eastAsia="仿宋_GB2312" w:cs="Times New Roman"/>
                <w:sz w:val="24"/>
                <w:szCs w:val="24"/>
              </w:rPr>
            </w:pPr>
          </w:p>
        </w:tc>
        <w:tc>
          <w:tcPr>
            <w:tcW w:w="850" w:type="dxa"/>
          </w:tcPr>
          <w:p>
            <w:pPr>
              <w:rPr>
                <w:rFonts w:ascii="仿宋_GB2312" w:hAnsi="仿宋" w:eastAsia="仿宋_GB2312" w:cs="宋体"/>
                <w:sz w:val="24"/>
                <w:szCs w:val="24"/>
              </w:rPr>
            </w:pPr>
            <w:r>
              <w:rPr>
                <w:rFonts w:ascii="仿宋_GB2312" w:hAnsi="仿宋" w:eastAsia="仿宋_GB2312" w:cs="宋体"/>
                <w:sz w:val="24"/>
                <w:szCs w:val="24"/>
              </w:rPr>
              <w:t>3101</w:t>
            </w:r>
          </w:p>
        </w:tc>
        <w:tc>
          <w:tcPr>
            <w:tcW w:w="2845" w:type="dxa"/>
          </w:tcPr>
          <w:p>
            <w:pPr>
              <w:rPr>
                <w:rFonts w:ascii="仿宋_GB2312" w:hAnsi="仿宋" w:eastAsia="仿宋_GB2312" w:cs="Times New Roman"/>
                <w:sz w:val="24"/>
                <w:szCs w:val="24"/>
              </w:rPr>
            </w:pPr>
            <w:r>
              <w:rPr>
                <w:rFonts w:hint="eastAsia" w:ascii="仿宋_GB2312" w:hAnsi="仿宋" w:eastAsia="仿宋_GB2312" w:cs="宋体"/>
                <w:sz w:val="24"/>
                <w:szCs w:val="24"/>
              </w:rPr>
              <w:t>非流动资产基金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46</w:t>
            </w:r>
          </w:p>
        </w:tc>
        <w:tc>
          <w:tcPr>
            <w:tcW w:w="1155" w:type="dxa"/>
            <w:gridSpan w:val="2"/>
          </w:tcPr>
          <w:p>
            <w:pPr>
              <w:rPr>
                <w:rFonts w:ascii="仿宋_GB2312" w:hAnsi="仿宋" w:eastAsia="仿宋_GB2312" w:cs="Times New Roman"/>
                <w:sz w:val="24"/>
                <w:szCs w:val="24"/>
              </w:rPr>
            </w:pPr>
            <w:r>
              <w:rPr>
                <w:rFonts w:ascii="仿宋_GB2312" w:hAnsi="仿宋" w:eastAsia="仿宋_GB2312" w:cs="宋体"/>
                <w:sz w:val="24"/>
                <w:szCs w:val="24"/>
              </w:rPr>
              <w:t>3</w:t>
            </w:r>
            <w:r>
              <w:rPr>
                <w:rFonts w:hint="eastAsia" w:ascii="仿宋_GB2312" w:hAnsi="仿宋" w:eastAsia="仿宋_GB2312" w:cs="宋体"/>
                <w:sz w:val="24"/>
                <w:szCs w:val="24"/>
              </w:rPr>
              <w:t>101</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专用基金</w:t>
            </w:r>
          </w:p>
        </w:tc>
        <w:tc>
          <w:tcPr>
            <w:tcW w:w="850" w:type="dxa"/>
          </w:tcPr>
          <w:p>
            <w:pPr>
              <w:rPr>
                <w:rFonts w:ascii="仿宋_GB2312" w:hAnsi="仿宋" w:eastAsia="仿宋_GB2312" w:cs="宋体"/>
                <w:sz w:val="24"/>
                <w:szCs w:val="24"/>
              </w:rPr>
            </w:pPr>
            <w:r>
              <w:rPr>
                <w:rFonts w:ascii="仿宋_GB2312" w:hAnsi="仿宋" w:eastAsia="仿宋_GB2312" w:cs="宋体"/>
                <w:sz w:val="24"/>
                <w:szCs w:val="24"/>
              </w:rPr>
              <w:t>3201</w:t>
            </w:r>
          </w:p>
        </w:tc>
        <w:tc>
          <w:tcPr>
            <w:tcW w:w="2845" w:type="dxa"/>
          </w:tcPr>
          <w:p>
            <w:pPr>
              <w:rPr>
                <w:rFonts w:ascii="仿宋_GB2312" w:hAnsi="仿宋" w:eastAsia="仿宋_GB2312" w:cs="Times New Roman"/>
                <w:sz w:val="24"/>
                <w:szCs w:val="24"/>
              </w:rPr>
            </w:pPr>
            <w:r>
              <w:rPr>
                <w:rFonts w:hint="eastAsia" w:ascii="仿宋_GB2312" w:hAnsi="仿宋" w:eastAsia="仿宋_GB2312" w:cs="宋体"/>
                <w:sz w:val="24"/>
                <w:szCs w:val="24"/>
              </w:rPr>
              <w:t>专用基金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47</w:t>
            </w:r>
          </w:p>
        </w:tc>
        <w:tc>
          <w:tcPr>
            <w:tcW w:w="1155" w:type="dxa"/>
            <w:gridSpan w:val="2"/>
            <w:vMerge w:val="restart"/>
            <w:vAlign w:val="center"/>
          </w:tcPr>
          <w:p>
            <w:pPr>
              <w:rPr>
                <w:rFonts w:ascii="仿宋_GB2312" w:hAnsi="仿宋" w:eastAsia="仿宋_GB2312" w:cs="宋体"/>
                <w:sz w:val="24"/>
                <w:szCs w:val="24"/>
              </w:rPr>
            </w:pPr>
            <w:r>
              <w:rPr>
                <w:rFonts w:ascii="仿宋_GB2312" w:hAnsi="仿宋" w:eastAsia="仿宋_GB2312" w:cs="宋体"/>
                <w:sz w:val="24"/>
                <w:szCs w:val="24"/>
              </w:rPr>
              <w:t>3001</w:t>
            </w:r>
          </w:p>
        </w:tc>
        <w:tc>
          <w:tcPr>
            <w:tcW w:w="3165" w:type="dxa"/>
            <w:gridSpan w:val="2"/>
            <w:vMerge w:val="restart"/>
            <w:vAlign w:val="center"/>
          </w:tcPr>
          <w:p>
            <w:pPr>
              <w:rPr>
                <w:rFonts w:ascii="仿宋_GB2312" w:hAnsi="仿宋" w:eastAsia="仿宋_GB2312" w:cs="Times New Roman"/>
                <w:sz w:val="24"/>
                <w:szCs w:val="24"/>
              </w:rPr>
            </w:pPr>
            <w:r>
              <w:rPr>
                <w:rFonts w:hint="eastAsia" w:ascii="仿宋_GB2312" w:hAnsi="仿宋" w:eastAsia="仿宋_GB2312" w:cs="宋体"/>
                <w:sz w:val="24"/>
                <w:szCs w:val="24"/>
              </w:rPr>
              <w:t>累计盈余</w:t>
            </w:r>
          </w:p>
        </w:tc>
        <w:tc>
          <w:tcPr>
            <w:tcW w:w="850" w:type="dxa"/>
          </w:tcPr>
          <w:p>
            <w:pPr>
              <w:rPr>
                <w:rFonts w:ascii="仿宋_GB2312" w:hAnsi="仿宋" w:eastAsia="仿宋_GB2312" w:cs="宋体"/>
                <w:sz w:val="24"/>
                <w:szCs w:val="24"/>
              </w:rPr>
            </w:pPr>
            <w:r>
              <w:rPr>
                <w:rFonts w:ascii="仿宋_GB2312" w:hAnsi="仿宋" w:eastAsia="仿宋_GB2312" w:cs="宋体"/>
                <w:sz w:val="24"/>
                <w:szCs w:val="24"/>
              </w:rPr>
              <w:t>3301</w:t>
            </w:r>
          </w:p>
        </w:tc>
        <w:tc>
          <w:tcPr>
            <w:tcW w:w="2845" w:type="dxa"/>
          </w:tcPr>
          <w:p>
            <w:pPr>
              <w:rPr>
                <w:rFonts w:ascii="仿宋_GB2312" w:hAnsi="仿宋" w:eastAsia="仿宋_GB2312" w:cs="Times New Roman"/>
                <w:sz w:val="24"/>
                <w:szCs w:val="24"/>
              </w:rPr>
            </w:pPr>
            <w:r>
              <w:rPr>
                <w:rFonts w:hint="eastAsia" w:ascii="仿宋_GB2312" w:hAnsi="仿宋" w:eastAsia="仿宋_GB2312" w:cs="宋体"/>
                <w:sz w:val="24"/>
                <w:szCs w:val="24"/>
              </w:rPr>
              <w:t>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48</w:t>
            </w:r>
          </w:p>
        </w:tc>
        <w:tc>
          <w:tcPr>
            <w:tcW w:w="1155" w:type="dxa"/>
            <w:gridSpan w:val="2"/>
            <w:vMerge w:val="continue"/>
          </w:tcPr>
          <w:p>
            <w:pPr>
              <w:rPr>
                <w:rFonts w:ascii="仿宋_GB2312" w:hAnsi="仿宋" w:eastAsia="仿宋_GB2312" w:cs="Times New Roman"/>
                <w:sz w:val="24"/>
                <w:szCs w:val="24"/>
              </w:rPr>
            </w:pPr>
          </w:p>
        </w:tc>
        <w:tc>
          <w:tcPr>
            <w:tcW w:w="3165" w:type="dxa"/>
            <w:gridSpan w:val="2"/>
            <w:vMerge w:val="continue"/>
          </w:tcPr>
          <w:p>
            <w:pPr>
              <w:rPr>
                <w:rFonts w:ascii="仿宋_GB2312" w:hAnsi="仿宋" w:eastAsia="仿宋_GB2312" w:cs="Times New Roman"/>
                <w:sz w:val="24"/>
                <w:szCs w:val="24"/>
              </w:rPr>
            </w:pPr>
          </w:p>
        </w:tc>
        <w:tc>
          <w:tcPr>
            <w:tcW w:w="850" w:type="dxa"/>
          </w:tcPr>
          <w:p>
            <w:pPr>
              <w:rPr>
                <w:rFonts w:ascii="仿宋_GB2312" w:hAnsi="仿宋" w:eastAsia="仿宋_GB2312" w:cs="宋体"/>
                <w:sz w:val="24"/>
                <w:szCs w:val="24"/>
              </w:rPr>
            </w:pPr>
            <w:r>
              <w:rPr>
                <w:rFonts w:ascii="仿宋_GB2312" w:hAnsi="仿宋" w:eastAsia="仿宋_GB2312" w:cs="宋体"/>
                <w:sz w:val="24"/>
                <w:szCs w:val="24"/>
              </w:rPr>
              <w:t>3302</w:t>
            </w:r>
          </w:p>
        </w:tc>
        <w:tc>
          <w:tcPr>
            <w:tcW w:w="2845" w:type="dxa"/>
          </w:tcPr>
          <w:p>
            <w:pPr>
              <w:rPr>
                <w:rFonts w:ascii="仿宋_GB2312" w:hAnsi="仿宋" w:eastAsia="仿宋_GB2312" w:cs="Times New Roman"/>
                <w:sz w:val="24"/>
                <w:szCs w:val="24"/>
              </w:rPr>
            </w:pPr>
            <w:r>
              <w:rPr>
                <w:rFonts w:hint="eastAsia" w:ascii="仿宋_GB2312" w:hAnsi="仿宋" w:eastAsia="仿宋_GB2312" w:cs="宋体"/>
                <w:sz w:val="24"/>
                <w:szCs w:val="24"/>
              </w:rPr>
              <w:t>财政补助结余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49</w:t>
            </w:r>
          </w:p>
        </w:tc>
        <w:tc>
          <w:tcPr>
            <w:tcW w:w="1155" w:type="dxa"/>
            <w:gridSpan w:val="2"/>
            <w:vMerge w:val="continue"/>
          </w:tcPr>
          <w:p>
            <w:pPr>
              <w:rPr>
                <w:rFonts w:ascii="仿宋_GB2312" w:hAnsi="仿宋" w:eastAsia="仿宋_GB2312" w:cs="Times New Roman"/>
                <w:sz w:val="24"/>
                <w:szCs w:val="24"/>
              </w:rPr>
            </w:pPr>
          </w:p>
        </w:tc>
        <w:tc>
          <w:tcPr>
            <w:tcW w:w="3165" w:type="dxa"/>
            <w:gridSpan w:val="2"/>
            <w:vMerge w:val="continue"/>
          </w:tcPr>
          <w:p>
            <w:pPr>
              <w:rPr>
                <w:rFonts w:ascii="仿宋_GB2312" w:hAnsi="仿宋" w:eastAsia="仿宋_GB2312" w:cs="Times New Roman"/>
                <w:sz w:val="24"/>
                <w:szCs w:val="24"/>
              </w:rPr>
            </w:pPr>
          </w:p>
        </w:tc>
        <w:tc>
          <w:tcPr>
            <w:tcW w:w="850" w:type="dxa"/>
          </w:tcPr>
          <w:p>
            <w:pPr>
              <w:rPr>
                <w:rFonts w:ascii="仿宋_GB2312" w:hAnsi="仿宋" w:eastAsia="仿宋_GB2312" w:cs="宋体"/>
                <w:sz w:val="24"/>
                <w:szCs w:val="24"/>
              </w:rPr>
            </w:pPr>
            <w:r>
              <w:rPr>
                <w:rFonts w:ascii="仿宋_GB2312" w:hAnsi="仿宋" w:eastAsia="仿宋_GB2312" w:cs="宋体"/>
                <w:sz w:val="24"/>
                <w:szCs w:val="24"/>
              </w:rPr>
              <w:t>3401</w:t>
            </w:r>
          </w:p>
        </w:tc>
        <w:tc>
          <w:tcPr>
            <w:tcW w:w="2845" w:type="dxa"/>
          </w:tcPr>
          <w:p>
            <w:pPr>
              <w:rPr>
                <w:rFonts w:ascii="仿宋_GB2312" w:hAnsi="仿宋" w:eastAsia="仿宋_GB2312" w:cs="Times New Roman"/>
                <w:sz w:val="24"/>
                <w:szCs w:val="24"/>
              </w:rPr>
            </w:pPr>
            <w:r>
              <w:rPr>
                <w:rFonts w:hint="eastAsia" w:ascii="仿宋_GB2312" w:hAnsi="仿宋" w:eastAsia="仿宋_GB2312" w:cs="宋体"/>
                <w:sz w:val="24"/>
                <w:szCs w:val="24"/>
              </w:rPr>
              <w:t>非财政补助结转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749" w:type="dxa"/>
            <w:vAlign w:val="center"/>
          </w:tcPr>
          <w:p>
            <w:pPr>
              <w:jc w:val="center"/>
              <w:rPr>
                <w:rFonts w:ascii="仿宋_GB2312" w:hAnsi="仿宋" w:eastAsia="仿宋_GB2312" w:cs="宋体"/>
                <w:sz w:val="24"/>
                <w:szCs w:val="24"/>
              </w:rPr>
            </w:pPr>
            <w:r>
              <w:rPr>
                <w:rFonts w:ascii="仿宋_GB2312" w:hAnsi="仿宋" w:eastAsia="仿宋_GB2312" w:cs="宋体"/>
                <w:sz w:val="24"/>
                <w:szCs w:val="24"/>
              </w:rPr>
              <w:t>50</w:t>
            </w:r>
          </w:p>
        </w:tc>
        <w:tc>
          <w:tcPr>
            <w:tcW w:w="1155" w:type="dxa"/>
            <w:gridSpan w:val="2"/>
          </w:tcPr>
          <w:p>
            <w:pPr>
              <w:rPr>
                <w:rFonts w:ascii="仿宋_GB2312" w:hAnsi="仿宋" w:eastAsia="仿宋_GB2312" w:cs="宋体"/>
                <w:sz w:val="24"/>
                <w:szCs w:val="24"/>
              </w:rPr>
            </w:pPr>
            <w:r>
              <w:rPr>
                <w:rFonts w:ascii="仿宋_GB2312" w:hAnsi="仿宋" w:eastAsia="仿宋_GB2312" w:cs="宋体"/>
                <w:sz w:val="24"/>
                <w:szCs w:val="24"/>
              </w:rPr>
              <w:t>3001</w:t>
            </w:r>
          </w:p>
        </w:tc>
        <w:tc>
          <w:tcPr>
            <w:tcW w:w="3165" w:type="dxa"/>
            <w:gridSpan w:val="2"/>
          </w:tcPr>
          <w:p>
            <w:pPr>
              <w:rPr>
                <w:rFonts w:ascii="仿宋_GB2312" w:hAnsi="仿宋" w:eastAsia="仿宋_GB2312" w:cs="Times New Roman"/>
                <w:sz w:val="24"/>
                <w:szCs w:val="24"/>
              </w:rPr>
            </w:pPr>
            <w:r>
              <w:rPr>
                <w:rFonts w:hint="eastAsia" w:ascii="仿宋_GB2312" w:hAnsi="仿宋" w:eastAsia="仿宋_GB2312" w:cs="宋体"/>
                <w:sz w:val="24"/>
                <w:szCs w:val="24"/>
              </w:rPr>
              <w:t>累计盈余（借方）</w:t>
            </w:r>
          </w:p>
        </w:tc>
        <w:tc>
          <w:tcPr>
            <w:tcW w:w="850" w:type="dxa"/>
          </w:tcPr>
          <w:p>
            <w:pPr>
              <w:rPr>
                <w:rFonts w:ascii="仿宋_GB2312" w:hAnsi="仿宋" w:eastAsia="仿宋_GB2312" w:cs="宋体"/>
                <w:sz w:val="24"/>
                <w:szCs w:val="24"/>
              </w:rPr>
            </w:pPr>
            <w:r>
              <w:rPr>
                <w:rFonts w:ascii="仿宋_GB2312" w:hAnsi="仿宋" w:eastAsia="仿宋_GB2312" w:cs="宋体"/>
                <w:sz w:val="24"/>
                <w:szCs w:val="24"/>
              </w:rPr>
              <w:t>3403</w:t>
            </w:r>
          </w:p>
        </w:tc>
        <w:tc>
          <w:tcPr>
            <w:tcW w:w="2845" w:type="dxa"/>
          </w:tcPr>
          <w:p>
            <w:pPr>
              <w:rPr>
                <w:rFonts w:ascii="仿宋_GB2312" w:hAnsi="仿宋" w:eastAsia="仿宋_GB2312" w:cs="Times New Roman"/>
                <w:sz w:val="24"/>
                <w:szCs w:val="24"/>
              </w:rPr>
            </w:pPr>
            <w:r>
              <w:rPr>
                <w:rFonts w:hint="eastAsia" w:ascii="仿宋_GB2312" w:hAnsi="仿宋" w:eastAsia="仿宋_GB2312" w:cs="宋体"/>
                <w:sz w:val="24"/>
                <w:szCs w:val="24"/>
              </w:rPr>
              <w:t>经营结余（借方）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4" w:type="dxa"/>
            <w:gridSpan w:val="7"/>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四、预算结余类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gridSpan w:val="2"/>
            <w:vAlign w:val="center"/>
          </w:tcPr>
          <w:p>
            <w:pPr>
              <w:jc w:val="center"/>
              <w:rPr>
                <w:rFonts w:ascii="仿宋_GB2312" w:hAnsi="Times New Roman" w:eastAsia="仿宋_GB2312" w:cs="Times New Roman"/>
                <w:sz w:val="24"/>
                <w:szCs w:val="24"/>
              </w:rPr>
            </w:pPr>
            <w:r>
              <w:rPr>
                <w:rFonts w:ascii="仿宋_GB2312" w:hAnsi="Times New Roman" w:eastAsia="仿宋_GB2312" w:cs="Times New Roman"/>
                <w:sz w:val="24"/>
                <w:szCs w:val="24"/>
              </w:rPr>
              <w:t>5</w:t>
            </w:r>
            <w:r>
              <w:rPr>
                <w:rFonts w:hint="eastAsia" w:ascii="仿宋_GB2312" w:hAnsi="Times New Roman" w:eastAsia="仿宋_GB2312" w:cs="Times New Roman"/>
                <w:sz w:val="24"/>
                <w:szCs w:val="24"/>
              </w:rPr>
              <w:t>1</w:t>
            </w:r>
          </w:p>
        </w:tc>
        <w:tc>
          <w:tcPr>
            <w:tcW w:w="1134" w:type="dxa"/>
            <w:gridSpan w:val="2"/>
            <w:vAlign w:val="center"/>
          </w:tcPr>
          <w:p>
            <w:pPr>
              <w:rPr>
                <w:rFonts w:ascii="仿宋_GB2312" w:hAnsi="Times New Roman" w:eastAsia="仿宋_GB2312" w:cs="Times New Roman"/>
                <w:sz w:val="24"/>
                <w:szCs w:val="24"/>
              </w:rPr>
            </w:pPr>
            <w:r>
              <w:rPr>
                <w:rFonts w:ascii="仿宋_GB2312" w:hAnsi="Times New Roman" w:eastAsia="仿宋_GB2312" w:cs="Times New Roman"/>
                <w:sz w:val="24"/>
                <w:szCs w:val="24"/>
              </w:rPr>
              <w:t>8101</w:t>
            </w:r>
          </w:p>
        </w:tc>
        <w:tc>
          <w:tcPr>
            <w:tcW w:w="3118"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财政拨款结转</w:t>
            </w:r>
          </w:p>
        </w:tc>
        <w:tc>
          <w:tcPr>
            <w:tcW w:w="850" w:type="dxa"/>
          </w:tcPr>
          <w:p>
            <w:pPr>
              <w:rPr>
                <w:rFonts w:ascii="仿宋_GB2312" w:hAnsi="Times New Roman" w:eastAsia="仿宋_GB2312" w:cs="Times New Roman"/>
                <w:sz w:val="24"/>
                <w:szCs w:val="24"/>
              </w:rPr>
            </w:pPr>
            <w:r>
              <w:rPr>
                <w:rFonts w:ascii="仿宋_GB2312" w:hAnsi="Times New Roman" w:eastAsia="仿宋_GB2312" w:cs="Times New Roman"/>
                <w:sz w:val="24"/>
                <w:szCs w:val="24"/>
              </w:rPr>
              <w:t>3301</w:t>
            </w:r>
          </w:p>
        </w:tc>
        <w:tc>
          <w:tcPr>
            <w:tcW w:w="2845" w:type="dxa"/>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gridSpan w:val="2"/>
            <w:vAlign w:val="center"/>
          </w:tcPr>
          <w:p>
            <w:pPr>
              <w:jc w:val="center"/>
              <w:rPr>
                <w:rFonts w:ascii="仿宋_GB2312" w:hAnsi="Times New Roman" w:eastAsia="仿宋_GB2312" w:cs="Times New Roman"/>
                <w:sz w:val="24"/>
                <w:szCs w:val="24"/>
              </w:rPr>
            </w:pPr>
            <w:r>
              <w:rPr>
                <w:rFonts w:ascii="仿宋_GB2312" w:hAnsi="Times New Roman" w:eastAsia="仿宋_GB2312" w:cs="Times New Roman"/>
                <w:sz w:val="24"/>
                <w:szCs w:val="24"/>
              </w:rPr>
              <w:t>5</w:t>
            </w:r>
            <w:r>
              <w:rPr>
                <w:rFonts w:hint="eastAsia" w:ascii="仿宋_GB2312" w:hAnsi="Times New Roman" w:eastAsia="仿宋_GB2312" w:cs="Times New Roman"/>
                <w:sz w:val="24"/>
                <w:szCs w:val="24"/>
              </w:rPr>
              <w:t>2</w:t>
            </w:r>
          </w:p>
        </w:tc>
        <w:tc>
          <w:tcPr>
            <w:tcW w:w="1134" w:type="dxa"/>
            <w:gridSpan w:val="2"/>
          </w:tcPr>
          <w:p>
            <w:pPr>
              <w:rPr>
                <w:rFonts w:ascii="仿宋_GB2312" w:hAnsi="Times New Roman" w:eastAsia="仿宋_GB2312" w:cs="Times New Roman"/>
                <w:sz w:val="24"/>
                <w:szCs w:val="24"/>
              </w:rPr>
            </w:pPr>
            <w:r>
              <w:rPr>
                <w:rFonts w:ascii="仿宋_GB2312" w:hAnsi="Times New Roman" w:eastAsia="仿宋_GB2312" w:cs="Times New Roman"/>
                <w:sz w:val="24"/>
                <w:szCs w:val="24"/>
              </w:rPr>
              <w:t>8102</w:t>
            </w:r>
          </w:p>
        </w:tc>
        <w:tc>
          <w:tcPr>
            <w:tcW w:w="3118" w:type="dxa"/>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财政拨款结余</w:t>
            </w:r>
          </w:p>
        </w:tc>
        <w:tc>
          <w:tcPr>
            <w:tcW w:w="850" w:type="dxa"/>
          </w:tcPr>
          <w:p>
            <w:pPr>
              <w:tabs>
                <w:tab w:val="center" w:pos="4153"/>
                <w:tab w:val="right" w:pos="8306"/>
              </w:tabs>
              <w:snapToGrid w:val="0"/>
              <w:rPr>
                <w:rFonts w:ascii="仿宋_GB2312" w:hAnsi="Times New Roman" w:eastAsia="仿宋_GB2312" w:cs="Times New Roman"/>
                <w:sz w:val="24"/>
                <w:szCs w:val="24"/>
              </w:rPr>
            </w:pPr>
            <w:r>
              <w:rPr>
                <w:rFonts w:ascii="仿宋_GB2312" w:hAnsi="Times New Roman" w:eastAsia="仿宋_GB2312" w:cs="Times New Roman"/>
                <w:sz w:val="24"/>
                <w:szCs w:val="24"/>
              </w:rPr>
              <w:t>3302</w:t>
            </w:r>
          </w:p>
        </w:tc>
        <w:tc>
          <w:tcPr>
            <w:tcW w:w="2845" w:type="dxa"/>
          </w:tcPr>
          <w:p>
            <w:pPr>
              <w:tabs>
                <w:tab w:val="center" w:pos="4153"/>
                <w:tab w:val="right" w:pos="8306"/>
              </w:tabs>
              <w:snapToGrid w:val="0"/>
              <w:rPr>
                <w:rFonts w:ascii="仿宋_GB2312" w:hAnsi="Times New Roman" w:eastAsia="仿宋_GB2312" w:cs="Times New Roman"/>
                <w:sz w:val="24"/>
                <w:szCs w:val="24"/>
              </w:rPr>
            </w:pPr>
            <w:r>
              <w:rPr>
                <w:rFonts w:hint="eastAsia" w:ascii="仿宋_GB2312" w:hAnsi="Times New Roman" w:eastAsia="仿宋_GB2312" w:cs="Times New Roman"/>
                <w:sz w:val="24"/>
                <w:szCs w:val="24"/>
              </w:rPr>
              <w:t>财政补助结余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gridSpan w:val="2"/>
            <w:vAlign w:val="center"/>
          </w:tcPr>
          <w:p>
            <w:pPr>
              <w:jc w:val="center"/>
              <w:rPr>
                <w:rFonts w:ascii="仿宋_GB2312" w:hAnsi="Times New Roman" w:eastAsia="仿宋_GB2312" w:cs="Times New Roman"/>
                <w:sz w:val="24"/>
                <w:szCs w:val="24"/>
              </w:rPr>
            </w:pPr>
            <w:r>
              <w:rPr>
                <w:rFonts w:ascii="仿宋_GB2312" w:hAnsi="Times New Roman" w:eastAsia="仿宋_GB2312" w:cs="Times New Roman"/>
                <w:sz w:val="24"/>
                <w:szCs w:val="24"/>
              </w:rPr>
              <w:t>5</w:t>
            </w:r>
            <w:r>
              <w:rPr>
                <w:rFonts w:hint="eastAsia" w:ascii="仿宋_GB2312" w:hAnsi="Times New Roman" w:eastAsia="仿宋_GB2312" w:cs="Times New Roman"/>
                <w:sz w:val="24"/>
                <w:szCs w:val="24"/>
              </w:rPr>
              <w:t>3</w:t>
            </w:r>
          </w:p>
        </w:tc>
        <w:tc>
          <w:tcPr>
            <w:tcW w:w="1134" w:type="dxa"/>
            <w:gridSpan w:val="2"/>
          </w:tcPr>
          <w:p>
            <w:pPr>
              <w:rPr>
                <w:rFonts w:ascii="仿宋_GB2312" w:hAnsi="Times New Roman" w:eastAsia="仿宋_GB2312" w:cs="Times New Roman"/>
                <w:sz w:val="24"/>
                <w:szCs w:val="24"/>
              </w:rPr>
            </w:pPr>
            <w:r>
              <w:rPr>
                <w:rFonts w:ascii="仿宋_GB2312" w:hAnsi="Times New Roman" w:eastAsia="仿宋_GB2312" w:cs="Times New Roman"/>
                <w:sz w:val="24"/>
                <w:szCs w:val="24"/>
              </w:rPr>
              <w:t>8201</w:t>
            </w:r>
          </w:p>
        </w:tc>
        <w:tc>
          <w:tcPr>
            <w:tcW w:w="3118" w:type="dxa"/>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非财政拨款结转</w:t>
            </w:r>
          </w:p>
        </w:tc>
        <w:tc>
          <w:tcPr>
            <w:tcW w:w="850" w:type="dxa"/>
            <w:vAlign w:val="center"/>
          </w:tcPr>
          <w:p>
            <w:pPr>
              <w:rPr>
                <w:rFonts w:ascii="仿宋_GB2312" w:hAnsi="Times New Roman" w:eastAsia="仿宋_GB2312" w:cs="Times New Roman"/>
                <w:sz w:val="24"/>
                <w:szCs w:val="24"/>
              </w:rPr>
            </w:pPr>
            <w:r>
              <w:rPr>
                <w:rFonts w:ascii="仿宋_GB2312" w:hAnsi="Times New Roman" w:eastAsia="仿宋_GB2312" w:cs="Times New Roman"/>
                <w:sz w:val="24"/>
                <w:szCs w:val="24"/>
              </w:rPr>
              <w:t>3401</w:t>
            </w:r>
          </w:p>
        </w:tc>
        <w:tc>
          <w:tcPr>
            <w:tcW w:w="2845"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非财政补助结转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gridSpan w:val="2"/>
            <w:vAlign w:val="center"/>
          </w:tcPr>
          <w:p>
            <w:pPr>
              <w:jc w:val="center"/>
              <w:rPr>
                <w:rFonts w:ascii="仿宋_GB2312" w:hAnsi="Times New Roman" w:eastAsia="仿宋_GB2312" w:cs="Times New Roman"/>
                <w:sz w:val="24"/>
                <w:szCs w:val="24"/>
              </w:rPr>
            </w:pPr>
            <w:r>
              <w:rPr>
                <w:rFonts w:ascii="仿宋_GB2312" w:hAnsi="Times New Roman" w:eastAsia="仿宋_GB2312" w:cs="Times New Roman"/>
                <w:sz w:val="24"/>
                <w:szCs w:val="24"/>
              </w:rPr>
              <w:t>5</w:t>
            </w:r>
            <w:r>
              <w:rPr>
                <w:rFonts w:hint="eastAsia" w:ascii="仿宋_GB2312" w:hAnsi="Times New Roman" w:eastAsia="仿宋_GB2312" w:cs="Times New Roman"/>
                <w:sz w:val="24"/>
                <w:szCs w:val="24"/>
              </w:rPr>
              <w:t>4</w:t>
            </w:r>
          </w:p>
        </w:tc>
        <w:tc>
          <w:tcPr>
            <w:tcW w:w="1134" w:type="dxa"/>
            <w:gridSpan w:val="2"/>
            <w:vAlign w:val="center"/>
          </w:tcPr>
          <w:p>
            <w:pPr>
              <w:rPr>
                <w:rFonts w:ascii="仿宋_GB2312" w:hAnsi="Times New Roman" w:eastAsia="仿宋_GB2312" w:cs="Times New Roman"/>
                <w:sz w:val="24"/>
                <w:szCs w:val="24"/>
              </w:rPr>
            </w:pPr>
            <w:r>
              <w:rPr>
                <w:rFonts w:ascii="仿宋_GB2312" w:hAnsi="Times New Roman" w:eastAsia="仿宋_GB2312" w:cs="Times New Roman"/>
                <w:sz w:val="24"/>
                <w:szCs w:val="24"/>
              </w:rPr>
              <w:t>8202</w:t>
            </w:r>
          </w:p>
        </w:tc>
        <w:tc>
          <w:tcPr>
            <w:tcW w:w="3118"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非财政拨款结余</w:t>
            </w:r>
          </w:p>
        </w:tc>
        <w:tc>
          <w:tcPr>
            <w:tcW w:w="850" w:type="dxa"/>
          </w:tcPr>
          <w:p>
            <w:pPr>
              <w:rPr>
                <w:rFonts w:ascii="仿宋_GB2312" w:hAnsi="Times New Roman" w:eastAsia="仿宋_GB2312" w:cs="Times New Roman"/>
                <w:sz w:val="24"/>
                <w:szCs w:val="24"/>
              </w:rPr>
            </w:pPr>
            <w:r>
              <w:rPr>
                <w:rFonts w:ascii="仿宋_GB2312" w:hAnsi="Times New Roman" w:eastAsia="仿宋_GB2312" w:cs="Times New Roman"/>
                <w:sz w:val="24"/>
                <w:szCs w:val="24"/>
              </w:rPr>
              <w:t>3001</w:t>
            </w:r>
          </w:p>
        </w:tc>
        <w:tc>
          <w:tcPr>
            <w:tcW w:w="2845" w:type="dxa"/>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事业基金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gridSpan w:val="2"/>
            <w:vAlign w:val="center"/>
          </w:tcPr>
          <w:p>
            <w:pPr>
              <w:jc w:val="center"/>
              <w:rPr>
                <w:rFonts w:ascii="仿宋_GB2312" w:hAnsi="Times New Roman" w:eastAsia="仿宋_GB2312" w:cs="Times New Roman"/>
                <w:sz w:val="24"/>
                <w:szCs w:val="24"/>
              </w:rPr>
            </w:pPr>
            <w:r>
              <w:rPr>
                <w:rFonts w:ascii="仿宋_GB2312" w:hAnsi="Times New Roman" w:eastAsia="仿宋_GB2312" w:cs="Times New Roman"/>
                <w:sz w:val="24"/>
                <w:szCs w:val="24"/>
              </w:rPr>
              <w:t>5</w:t>
            </w:r>
            <w:r>
              <w:rPr>
                <w:rFonts w:hint="eastAsia" w:ascii="仿宋_GB2312" w:hAnsi="Times New Roman" w:eastAsia="仿宋_GB2312" w:cs="Times New Roman"/>
                <w:sz w:val="24"/>
                <w:szCs w:val="24"/>
              </w:rPr>
              <w:t>5</w:t>
            </w:r>
          </w:p>
        </w:tc>
        <w:tc>
          <w:tcPr>
            <w:tcW w:w="1134" w:type="dxa"/>
            <w:gridSpan w:val="2"/>
            <w:vAlign w:val="center"/>
          </w:tcPr>
          <w:p>
            <w:pPr>
              <w:rPr>
                <w:rFonts w:ascii="仿宋_GB2312" w:hAnsi="Times New Roman" w:eastAsia="仿宋_GB2312" w:cs="Times New Roman"/>
                <w:sz w:val="24"/>
                <w:szCs w:val="24"/>
              </w:rPr>
            </w:pPr>
            <w:r>
              <w:rPr>
                <w:rFonts w:ascii="仿宋_GB2312" w:hAnsi="Times New Roman" w:eastAsia="仿宋_GB2312" w:cs="Times New Roman"/>
                <w:sz w:val="24"/>
                <w:szCs w:val="24"/>
              </w:rPr>
              <w:t>8301</w:t>
            </w:r>
          </w:p>
        </w:tc>
        <w:tc>
          <w:tcPr>
            <w:tcW w:w="3118"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专用结余</w:t>
            </w:r>
          </w:p>
        </w:tc>
        <w:tc>
          <w:tcPr>
            <w:tcW w:w="850" w:type="dxa"/>
          </w:tcPr>
          <w:p>
            <w:pPr>
              <w:rPr>
                <w:rFonts w:ascii="仿宋_GB2312" w:hAnsi="Times New Roman" w:eastAsia="仿宋_GB2312" w:cs="Times New Roman"/>
                <w:sz w:val="24"/>
                <w:szCs w:val="24"/>
              </w:rPr>
            </w:pPr>
            <w:r>
              <w:rPr>
                <w:rFonts w:ascii="仿宋_GB2312" w:hAnsi="Times New Roman" w:eastAsia="仿宋_GB2312" w:cs="Times New Roman"/>
                <w:sz w:val="24"/>
                <w:szCs w:val="24"/>
              </w:rPr>
              <w:t>3201</w:t>
            </w:r>
          </w:p>
        </w:tc>
        <w:tc>
          <w:tcPr>
            <w:tcW w:w="2845" w:type="dxa"/>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专用基金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817" w:type="dxa"/>
            <w:gridSpan w:val="2"/>
            <w:vAlign w:val="center"/>
          </w:tcPr>
          <w:p>
            <w:pPr>
              <w:jc w:val="center"/>
              <w:rPr>
                <w:rFonts w:ascii="仿宋_GB2312" w:hAnsi="Times New Roman" w:eastAsia="仿宋_GB2312" w:cs="Times New Roman"/>
                <w:sz w:val="24"/>
                <w:szCs w:val="24"/>
              </w:rPr>
            </w:pPr>
            <w:r>
              <w:rPr>
                <w:rFonts w:ascii="仿宋_GB2312" w:hAnsi="Times New Roman" w:eastAsia="仿宋_GB2312" w:cs="Times New Roman"/>
                <w:sz w:val="24"/>
                <w:szCs w:val="24"/>
              </w:rPr>
              <w:t>5</w:t>
            </w:r>
            <w:r>
              <w:rPr>
                <w:rFonts w:hint="eastAsia" w:ascii="仿宋_GB2312" w:hAnsi="Times New Roman" w:eastAsia="仿宋_GB2312" w:cs="Times New Roman"/>
                <w:sz w:val="24"/>
                <w:szCs w:val="24"/>
              </w:rPr>
              <w:t>6</w:t>
            </w:r>
          </w:p>
        </w:tc>
        <w:tc>
          <w:tcPr>
            <w:tcW w:w="1134" w:type="dxa"/>
            <w:gridSpan w:val="2"/>
            <w:vAlign w:val="center"/>
          </w:tcPr>
          <w:p>
            <w:pPr>
              <w:rPr>
                <w:rFonts w:ascii="仿宋_GB2312" w:hAnsi="Times New Roman" w:eastAsia="仿宋_GB2312" w:cs="Times New Roman"/>
                <w:sz w:val="24"/>
                <w:szCs w:val="24"/>
              </w:rPr>
            </w:pPr>
            <w:r>
              <w:rPr>
                <w:rFonts w:ascii="仿宋_GB2312" w:hAnsi="Times New Roman" w:eastAsia="仿宋_GB2312" w:cs="Times New Roman"/>
                <w:sz w:val="24"/>
                <w:szCs w:val="24"/>
              </w:rPr>
              <w:t>8401</w:t>
            </w:r>
          </w:p>
        </w:tc>
        <w:tc>
          <w:tcPr>
            <w:tcW w:w="3118"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经营结余</w:t>
            </w:r>
          </w:p>
        </w:tc>
        <w:tc>
          <w:tcPr>
            <w:tcW w:w="850" w:type="dxa"/>
          </w:tcPr>
          <w:p>
            <w:pPr>
              <w:rPr>
                <w:rFonts w:ascii="仿宋_GB2312" w:hAnsi="Times New Roman" w:eastAsia="仿宋_GB2312" w:cs="Times New Roman"/>
                <w:sz w:val="24"/>
                <w:szCs w:val="24"/>
              </w:rPr>
            </w:pPr>
            <w:r>
              <w:rPr>
                <w:rFonts w:ascii="仿宋_GB2312" w:hAnsi="Times New Roman" w:eastAsia="仿宋_GB2312" w:cs="Times New Roman"/>
                <w:sz w:val="24"/>
                <w:szCs w:val="24"/>
              </w:rPr>
              <w:t>3403</w:t>
            </w:r>
          </w:p>
        </w:tc>
        <w:tc>
          <w:tcPr>
            <w:tcW w:w="2845" w:type="dxa"/>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经营结余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gridSpan w:val="2"/>
            <w:vMerge w:val="restart"/>
            <w:vAlign w:val="center"/>
          </w:tcPr>
          <w:p>
            <w:pPr>
              <w:jc w:val="center"/>
              <w:rPr>
                <w:rFonts w:ascii="仿宋_GB2312" w:hAnsi="Times New Roman" w:eastAsia="仿宋_GB2312" w:cs="Times New Roman"/>
                <w:sz w:val="24"/>
                <w:szCs w:val="24"/>
              </w:rPr>
            </w:pPr>
            <w:r>
              <w:rPr>
                <w:rFonts w:ascii="仿宋_GB2312" w:hAnsi="Times New Roman" w:eastAsia="仿宋_GB2312" w:cs="Times New Roman"/>
                <w:sz w:val="24"/>
                <w:szCs w:val="24"/>
              </w:rPr>
              <w:t>5</w:t>
            </w:r>
            <w:r>
              <w:rPr>
                <w:rFonts w:hint="eastAsia" w:ascii="仿宋_GB2312" w:hAnsi="Times New Roman" w:eastAsia="仿宋_GB2312" w:cs="Times New Roman"/>
                <w:sz w:val="24"/>
                <w:szCs w:val="24"/>
              </w:rPr>
              <w:t>7</w:t>
            </w:r>
          </w:p>
        </w:tc>
        <w:tc>
          <w:tcPr>
            <w:tcW w:w="1134" w:type="dxa"/>
            <w:gridSpan w:val="2"/>
            <w:vMerge w:val="restart"/>
            <w:vAlign w:val="center"/>
          </w:tcPr>
          <w:p>
            <w:pPr>
              <w:rPr>
                <w:rFonts w:ascii="仿宋_GB2312" w:hAnsi="Times New Roman" w:eastAsia="仿宋_GB2312" w:cs="Times New Roman"/>
                <w:sz w:val="24"/>
                <w:szCs w:val="24"/>
              </w:rPr>
            </w:pPr>
            <w:r>
              <w:rPr>
                <w:rFonts w:ascii="仿宋_GB2312" w:hAnsi="Times New Roman" w:eastAsia="仿宋_GB2312" w:cs="Times New Roman"/>
                <w:sz w:val="24"/>
                <w:szCs w:val="24"/>
              </w:rPr>
              <w:t>8001</w:t>
            </w:r>
          </w:p>
        </w:tc>
        <w:tc>
          <w:tcPr>
            <w:tcW w:w="3118" w:type="dxa"/>
            <w:vMerge w:val="restart"/>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资金结存（借方）</w:t>
            </w:r>
          </w:p>
        </w:tc>
        <w:tc>
          <w:tcPr>
            <w:tcW w:w="850" w:type="dxa"/>
          </w:tcPr>
          <w:p>
            <w:pPr>
              <w:rPr>
                <w:rFonts w:ascii="仿宋_GB2312" w:hAnsi="Times New Roman" w:eastAsia="仿宋_GB2312" w:cs="Times New Roman"/>
                <w:sz w:val="24"/>
                <w:szCs w:val="24"/>
              </w:rPr>
            </w:pPr>
            <w:r>
              <w:rPr>
                <w:rFonts w:ascii="仿宋_GB2312" w:hAnsi="Times New Roman" w:eastAsia="仿宋_GB2312" w:cs="Times New Roman"/>
                <w:sz w:val="24"/>
                <w:szCs w:val="24"/>
              </w:rPr>
              <w:t>3301</w:t>
            </w:r>
          </w:p>
        </w:tc>
        <w:tc>
          <w:tcPr>
            <w:tcW w:w="2845"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gridSpan w:val="2"/>
            <w:vMerge w:val="continue"/>
            <w:vAlign w:val="center"/>
          </w:tcPr>
          <w:p>
            <w:pPr>
              <w:jc w:val="center"/>
              <w:rPr>
                <w:rFonts w:ascii="仿宋_GB2312" w:hAnsi="Times New Roman" w:eastAsia="仿宋_GB2312" w:cs="Times New Roman"/>
                <w:sz w:val="24"/>
                <w:szCs w:val="24"/>
              </w:rPr>
            </w:pPr>
          </w:p>
        </w:tc>
        <w:tc>
          <w:tcPr>
            <w:tcW w:w="1134" w:type="dxa"/>
            <w:gridSpan w:val="2"/>
            <w:vMerge w:val="continue"/>
            <w:vAlign w:val="center"/>
          </w:tcPr>
          <w:p>
            <w:pPr>
              <w:rPr>
                <w:rFonts w:ascii="仿宋_GB2312" w:hAnsi="Times New Roman" w:eastAsia="仿宋_GB2312" w:cs="Times New Roman"/>
                <w:sz w:val="24"/>
                <w:szCs w:val="24"/>
              </w:rPr>
            </w:pPr>
          </w:p>
        </w:tc>
        <w:tc>
          <w:tcPr>
            <w:tcW w:w="3118" w:type="dxa"/>
            <w:vMerge w:val="continue"/>
            <w:vAlign w:val="center"/>
          </w:tcPr>
          <w:p>
            <w:pPr>
              <w:rPr>
                <w:rFonts w:ascii="仿宋_GB2312" w:hAnsi="Times New Roman" w:eastAsia="仿宋_GB2312" w:cs="Times New Roman"/>
                <w:sz w:val="24"/>
                <w:szCs w:val="24"/>
              </w:rPr>
            </w:pPr>
          </w:p>
        </w:tc>
        <w:tc>
          <w:tcPr>
            <w:tcW w:w="850" w:type="dxa"/>
          </w:tcPr>
          <w:p>
            <w:pPr>
              <w:rPr>
                <w:rFonts w:ascii="仿宋_GB2312" w:hAnsi="Times New Roman" w:eastAsia="仿宋_GB2312" w:cs="Times New Roman"/>
                <w:sz w:val="24"/>
                <w:szCs w:val="24"/>
              </w:rPr>
            </w:pPr>
            <w:r>
              <w:rPr>
                <w:rFonts w:ascii="仿宋_GB2312" w:hAnsi="Times New Roman" w:eastAsia="仿宋_GB2312" w:cs="Times New Roman"/>
                <w:sz w:val="24"/>
                <w:szCs w:val="24"/>
              </w:rPr>
              <w:t>3302</w:t>
            </w:r>
          </w:p>
        </w:tc>
        <w:tc>
          <w:tcPr>
            <w:tcW w:w="2845"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财政补助结余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gridSpan w:val="2"/>
            <w:vMerge w:val="continue"/>
            <w:vAlign w:val="center"/>
          </w:tcPr>
          <w:p>
            <w:pPr>
              <w:jc w:val="center"/>
              <w:rPr>
                <w:rFonts w:ascii="仿宋_GB2312" w:hAnsi="Times New Roman" w:eastAsia="仿宋_GB2312" w:cs="Times New Roman"/>
                <w:sz w:val="24"/>
                <w:szCs w:val="24"/>
              </w:rPr>
            </w:pPr>
          </w:p>
        </w:tc>
        <w:tc>
          <w:tcPr>
            <w:tcW w:w="1134" w:type="dxa"/>
            <w:gridSpan w:val="2"/>
            <w:vMerge w:val="continue"/>
            <w:vAlign w:val="center"/>
          </w:tcPr>
          <w:p>
            <w:pPr>
              <w:rPr>
                <w:rFonts w:ascii="仿宋_GB2312" w:hAnsi="Times New Roman" w:eastAsia="仿宋_GB2312" w:cs="Times New Roman"/>
                <w:sz w:val="24"/>
                <w:szCs w:val="24"/>
              </w:rPr>
            </w:pPr>
          </w:p>
        </w:tc>
        <w:tc>
          <w:tcPr>
            <w:tcW w:w="3118" w:type="dxa"/>
            <w:vMerge w:val="continue"/>
            <w:vAlign w:val="center"/>
          </w:tcPr>
          <w:p>
            <w:pPr>
              <w:rPr>
                <w:rFonts w:ascii="仿宋_GB2312" w:hAnsi="Times New Roman" w:eastAsia="仿宋_GB2312" w:cs="Times New Roman"/>
                <w:sz w:val="24"/>
                <w:szCs w:val="24"/>
              </w:rPr>
            </w:pPr>
          </w:p>
        </w:tc>
        <w:tc>
          <w:tcPr>
            <w:tcW w:w="850" w:type="dxa"/>
          </w:tcPr>
          <w:p>
            <w:pPr>
              <w:rPr>
                <w:rFonts w:ascii="仿宋_GB2312" w:hAnsi="Times New Roman" w:eastAsia="仿宋_GB2312" w:cs="Times New Roman"/>
                <w:sz w:val="24"/>
                <w:szCs w:val="24"/>
              </w:rPr>
            </w:pPr>
            <w:r>
              <w:rPr>
                <w:rFonts w:ascii="仿宋_GB2312" w:hAnsi="Times New Roman" w:eastAsia="仿宋_GB2312" w:cs="Times New Roman"/>
                <w:sz w:val="24"/>
                <w:szCs w:val="24"/>
              </w:rPr>
              <w:t>3401</w:t>
            </w:r>
          </w:p>
        </w:tc>
        <w:tc>
          <w:tcPr>
            <w:tcW w:w="2845"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非财政补助结转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gridSpan w:val="2"/>
            <w:vMerge w:val="continue"/>
            <w:vAlign w:val="center"/>
          </w:tcPr>
          <w:p>
            <w:pPr>
              <w:jc w:val="center"/>
              <w:rPr>
                <w:rFonts w:ascii="仿宋_GB2312" w:hAnsi="Times New Roman" w:eastAsia="仿宋_GB2312" w:cs="Times New Roman"/>
                <w:sz w:val="24"/>
                <w:szCs w:val="24"/>
              </w:rPr>
            </w:pPr>
          </w:p>
        </w:tc>
        <w:tc>
          <w:tcPr>
            <w:tcW w:w="1134" w:type="dxa"/>
            <w:gridSpan w:val="2"/>
            <w:vMerge w:val="continue"/>
            <w:vAlign w:val="center"/>
          </w:tcPr>
          <w:p>
            <w:pPr>
              <w:rPr>
                <w:rFonts w:ascii="仿宋_GB2312" w:hAnsi="Times New Roman" w:eastAsia="仿宋_GB2312" w:cs="Times New Roman"/>
                <w:sz w:val="24"/>
                <w:szCs w:val="24"/>
              </w:rPr>
            </w:pPr>
          </w:p>
        </w:tc>
        <w:tc>
          <w:tcPr>
            <w:tcW w:w="3118" w:type="dxa"/>
            <w:vMerge w:val="continue"/>
            <w:vAlign w:val="center"/>
          </w:tcPr>
          <w:p>
            <w:pPr>
              <w:rPr>
                <w:rFonts w:ascii="仿宋_GB2312" w:hAnsi="Times New Roman" w:eastAsia="仿宋_GB2312" w:cs="Times New Roman"/>
                <w:sz w:val="24"/>
                <w:szCs w:val="24"/>
              </w:rPr>
            </w:pPr>
          </w:p>
        </w:tc>
        <w:tc>
          <w:tcPr>
            <w:tcW w:w="850" w:type="dxa"/>
          </w:tcPr>
          <w:p>
            <w:pPr>
              <w:jc w:val="left"/>
              <w:rPr>
                <w:rFonts w:ascii="仿宋_GB2312" w:hAnsi="Times New Roman" w:eastAsia="仿宋_GB2312" w:cs="Times New Roman"/>
                <w:sz w:val="24"/>
                <w:szCs w:val="24"/>
              </w:rPr>
            </w:pPr>
            <w:r>
              <w:rPr>
                <w:rFonts w:ascii="仿宋_GB2312" w:hAnsi="Times New Roman" w:eastAsia="仿宋_GB2312" w:cs="Times New Roman"/>
                <w:sz w:val="24"/>
                <w:szCs w:val="24"/>
              </w:rPr>
              <w:t>3001</w:t>
            </w:r>
          </w:p>
        </w:tc>
        <w:tc>
          <w:tcPr>
            <w:tcW w:w="2845"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事业基金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gridSpan w:val="2"/>
            <w:vMerge w:val="continue"/>
            <w:vAlign w:val="center"/>
          </w:tcPr>
          <w:p>
            <w:pPr>
              <w:jc w:val="center"/>
              <w:rPr>
                <w:rFonts w:ascii="仿宋_GB2312" w:hAnsi="Times New Roman" w:eastAsia="仿宋_GB2312" w:cs="Times New Roman"/>
                <w:sz w:val="24"/>
                <w:szCs w:val="24"/>
              </w:rPr>
            </w:pPr>
          </w:p>
        </w:tc>
        <w:tc>
          <w:tcPr>
            <w:tcW w:w="1134" w:type="dxa"/>
            <w:gridSpan w:val="2"/>
            <w:vMerge w:val="continue"/>
            <w:vAlign w:val="center"/>
          </w:tcPr>
          <w:p>
            <w:pPr>
              <w:rPr>
                <w:rFonts w:ascii="仿宋_GB2312" w:hAnsi="Times New Roman" w:eastAsia="仿宋_GB2312" w:cs="Times New Roman"/>
                <w:sz w:val="24"/>
                <w:szCs w:val="24"/>
              </w:rPr>
            </w:pPr>
          </w:p>
        </w:tc>
        <w:tc>
          <w:tcPr>
            <w:tcW w:w="3118" w:type="dxa"/>
            <w:vMerge w:val="continue"/>
            <w:vAlign w:val="center"/>
          </w:tcPr>
          <w:p>
            <w:pPr>
              <w:rPr>
                <w:rFonts w:ascii="仿宋_GB2312" w:hAnsi="Times New Roman" w:eastAsia="仿宋_GB2312" w:cs="Times New Roman"/>
                <w:sz w:val="24"/>
                <w:szCs w:val="24"/>
              </w:rPr>
            </w:pPr>
          </w:p>
        </w:tc>
        <w:tc>
          <w:tcPr>
            <w:tcW w:w="850" w:type="dxa"/>
          </w:tcPr>
          <w:p>
            <w:pPr>
              <w:jc w:val="left"/>
              <w:rPr>
                <w:rFonts w:ascii="仿宋_GB2312" w:hAnsi="Times New Roman" w:eastAsia="仿宋_GB2312" w:cs="Times New Roman"/>
                <w:sz w:val="24"/>
                <w:szCs w:val="24"/>
              </w:rPr>
            </w:pPr>
            <w:r>
              <w:rPr>
                <w:rFonts w:ascii="仿宋_GB2312" w:hAnsi="Times New Roman" w:eastAsia="仿宋_GB2312" w:cs="Times New Roman"/>
                <w:sz w:val="24"/>
                <w:szCs w:val="24"/>
              </w:rPr>
              <w:t>3201</w:t>
            </w:r>
          </w:p>
        </w:tc>
        <w:tc>
          <w:tcPr>
            <w:tcW w:w="2845"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专用基金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17" w:type="dxa"/>
            <w:gridSpan w:val="2"/>
            <w:vMerge w:val="continue"/>
            <w:vAlign w:val="center"/>
          </w:tcPr>
          <w:p>
            <w:pPr>
              <w:jc w:val="center"/>
              <w:rPr>
                <w:rFonts w:ascii="仿宋_GB2312" w:hAnsi="Times New Roman" w:eastAsia="仿宋_GB2312" w:cs="Times New Roman"/>
                <w:sz w:val="24"/>
                <w:szCs w:val="24"/>
              </w:rPr>
            </w:pPr>
          </w:p>
        </w:tc>
        <w:tc>
          <w:tcPr>
            <w:tcW w:w="1134" w:type="dxa"/>
            <w:gridSpan w:val="2"/>
            <w:vMerge w:val="continue"/>
            <w:vAlign w:val="center"/>
          </w:tcPr>
          <w:p>
            <w:pPr>
              <w:rPr>
                <w:rFonts w:ascii="仿宋_GB2312" w:hAnsi="Times New Roman" w:eastAsia="仿宋_GB2312" w:cs="Times New Roman"/>
                <w:sz w:val="24"/>
                <w:szCs w:val="24"/>
              </w:rPr>
            </w:pPr>
          </w:p>
        </w:tc>
        <w:tc>
          <w:tcPr>
            <w:tcW w:w="3118" w:type="dxa"/>
            <w:vMerge w:val="continue"/>
            <w:vAlign w:val="center"/>
          </w:tcPr>
          <w:p>
            <w:pPr>
              <w:rPr>
                <w:rFonts w:ascii="仿宋_GB2312" w:hAnsi="Times New Roman" w:eastAsia="仿宋_GB2312" w:cs="Times New Roman"/>
                <w:sz w:val="24"/>
                <w:szCs w:val="24"/>
              </w:rPr>
            </w:pPr>
          </w:p>
        </w:tc>
        <w:tc>
          <w:tcPr>
            <w:tcW w:w="850" w:type="dxa"/>
          </w:tcPr>
          <w:p>
            <w:pPr>
              <w:jc w:val="left"/>
              <w:rPr>
                <w:rFonts w:ascii="仿宋_GB2312" w:hAnsi="Times New Roman" w:eastAsia="仿宋_GB2312" w:cs="Times New Roman"/>
                <w:sz w:val="24"/>
                <w:szCs w:val="24"/>
              </w:rPr>
            </w:pPr>
            <w:r>
              <w:rPr>
                <w:rFonts w:ascii="仿宋_GB2312" w:hAnsi="Times New Roman" w:eastAsia="仿宋_GB2312" w:cs="Times New Roman"/>
                <w:sz w:val="24"/>
                <w:szCs w:val="24"/>
              </w:rPr>
              <w:t>3403</w:t>
            </w:r>
          </w:p>
        </w:tc>
        <w:tc>
          <w:tcPr>
            <w:tcW w:w="2845" w:type="dxa"/>
            <w:vAlign w:val="center"/>
          </w:tcPr>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经营结余</w:t>
            </w:r>
          </w:p>
        </w:tc>
      </w:tr>
    </w:tbl>
    <w:p>
      <w:pPr>
        <w:widowControl/>
        <w:jc w:val="left"/>
        <w:rPr>
          <w:rFonts w:ascii="仿宋" w:hAnsi="仿宋" w:eastAsia="仿宋" w:cs="Times New Roman"/>
          <w:sz w:val="32"/>
          <w:szCs w:val="32"/>
        </w:rPr>
      </w:pPr>
    </w:p>
    <w:sectPr>
      <w:headerReference r:id="rId4" w:type="default"/>
      <w:footerReference r:id="rId5" w:type="default"/>
      <w:footerReference r:id="rId6" w:type="even"/>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7211"/>
    </w:sdtPr>
    <w:sdtEndPr>
      <w:rPr>
        <w:rFonts w:hint="eastAsia" w:ascii="仿宋_GB2312" w:eastAsia="仿宋_GB2312"/>
      </w:rPr>
    </w:sdtEndPr>
    <w:sdtContent>
      <w:sdt>
        <w:sdtPr>
          <w:id w:val="171357217"/>
        </w:sdtPr>
        <w:sdtEndPr>
          <w:rPr>
            <w:rFonts w:hint="eastAsia" w:ascii="仿宋_GB2312" w:eastAsia="仿宋_GB2312"/>
          </w:rPr>
        </w:sdtEndPr>
        <w:sdtContent>
          <w:p>
            <w:pPr>
              <w:pStyle w:val="5"/>
              <w:jc w:val="center"/>
            </w:pPr>
            <w:r>
              <w:rPr>
                <w:rFonts w:ascii="仿宋_GB2312" w:eastAsia="仿宋_GB2312"/>
                <w:lang w:val="zh-CN"/>
              </w:rPr>
              <w:t xml:space="preserve"> </w:t>
            </w:r>
            <w:r>
              <w:rPr>
                <w:rFonts w:ascii="仿宋_GB2312" w:eastAsia="仿宋_GB2312"/>
                <w:sz w:val="24"/>
                <w:szCs w:val="24"/>
              </w:rPr>
              <w:fldChar w:fldCharType="begin"/>
            </w:r>
            <w:r>
              <w:rPr>
                <w:rFonts w:ascii="仿宋_GB2312" w:eastAsia="仿宋_GB2312"/>
              </w:rPr>
              <w:instrText xml:space="preserve">PAGE</w:instrText>
            </w:r>
            <w:r>
              <w:rPr>
                <w:rFonts w:ascii="仿宋_GB2312" w:eastAsia="仿宋_GB2312"/>
                <w:sz w:val="24"/>
                <w:szCs w:val="24"/>
              </w:rPr>
              <w:fldChar w:fldCharType="separate"/>
            </w:r>
            <w:r>
              <w:rPr>
                <w:rFonts w:ascii="仿宋_GB2312" w:eastAsia="仿宋_GB2312"/>
              </w:rPr>
              <w:t>22</w:t>
            </w:r>
            <w:r>
              <w:rPr>
                <w:rFonts w:ascii="仿宋_GB2312" w:eastAsia="仿宋_GB2312"/>
                <w:sz w:val="24"/>
                <w:szCs w:val="24"/>
              </w:rPr>
              <w:fldChar w:fldCharType="end"/>
            </w:r>
          </w:p>
        </w:sdtContent>
      </w:sdt>
    </w:sdtContent>
  </w:sdt>
  <w:p>
    <w:pPr>
      <w:pStyle w:val="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pPr>
      <w:r>
        <w:rPr>
          <w:rStyle w:val="12"/>
        </w:rPr>
        <w:footnoteRef/>
      </w:r>
      <w:r>
        <w:rPr>
          <w:rFonts w:hint="eastAsia" w:asciiTheme="minorEastAsia" w:hAnsiTheme="minorEastAsia"/>
          <w:sz w:val="21"/>
          <w:szCs w:val="21"/>
        </w:rPr>
        <w:t>本规定所指高等学校包括各级人民政府举办的全日制普通高等学校和成人高等学校。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643" w:firstLineChars="200"/>
      <w:jc w:val="both"/>
      <w:rPr>
        <w:rFonts w:hint="eastAsia"/>
        <w:b/>
        <w:bCs/>
        <w:color w:val="auto"/>
        <w:sz w:val="32"/>
        <w:szCs w:val="32"/>
        <w:u w:val="none"/>
        <w:lang w:val="en-US" w:eastAsia="zh-CN"/>
      </w:rPr>
    </w:pPr>
    <w:r>
      <w:rPr>
        <w:rFonts w:hint="eastAsia" w:eastAsia="宋体"/>
        <w:b/>
        <w:bCs/>
        <w:sz w:val="32"/>
        <w:szCs w:val="32"/>
        <w:lang w:eastAsia="zh-CN"/>
      </w:rPr>
      <w:drawing>
        <wp:anchor distT="0" distB="0" distL="114300" distR="114300" simplePos="0" relativeHeight="251659264" behindDoc="1" locked="0" layoutInCell="1" allowOverlap="1">
          <wp:simplePos x="0" y="0"/>
          <wp:positionH relativeFrom="column">
            <wp:posOffset>4581525</wp:posOffset>
          </wp:positionH>
          <wp:positionV relativeFrom="paragraph">
            <wp:posOffset>-389255</wp:posOffset>
          </wp:positionV>
          <wp:extent cx="818515" cy="818515"/>
          <wp:effectExtent l="0" t="0" r="635" b="635"/>
          <wp:wrapNone/>
          <wp:docPr id="1"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sz w:val="32"/>
      </w:rPr>
      <w:pict>
        <v:line id="直接连接符 2" o:spid="_x0000_s2049" o:spt="20" style="position:absolute;left:0pt;margin-left:422.55pt;margin-top:-7.45pt;height:0pt;width:2.25pt;z-index:251661312;mso-width-relative:page;mso-height-relative:page;" filled="f" stroked="t" coordsize="21600,21600" o:gfxdata="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Dxz9bZAAAACwEAAA8AAAAA&#10;AAAAAQAgAAAAIgAAAGRycy9kb3ducmV2LnhtbFBLAQIUABQAAAAIAIdO4kDhOrYq2gEAAGwDAAAO&#10;AAAAAAAAAAEAIAAAACgBAABkcnMvZTJvRG9jLnhtbFBLBQYAAAAABgAGAFkBAAB0BQAAAAA=&#10;">
          <v:path arrowok="t"/>
          <v:fill on="f" focussize="0,0"/>
          <v:stroke weight="0.5pt" color="#5B9BD5" joinstyle="miter"/>
          <v:imagedata o:title=""/>
          <o:lock v:ext="edit" aspectratio="f"/>
        </v:line>
      </w:pict>
    </w:r>
    <w:r>
      <w:rPr>
        <w:rFonts w:hint="eastAsia" w:eastAsia="宋体"/>
        <w:b/>
        <w:bCs/>
        <w:sz w:val="32"/>
        <w:szCs w:val="32"/>
        <w:lang w:eastAsia="zh-CN"/>
      </w:rPr>
      <w:t>找制度流程</w:t>
    </w:r>
    <w:r>
      <w:rPr>
        <w:rFonts w:hint="eastAsia"/>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10"/>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6"/>
      <w:ind w:firstLine="2108" w:firstLineChars="1000"/>
      <w:jc w:val="both"/>
    </w:pPr>
    <w:r>
      <w:rPr>
        <w:rFonts w:hint="eastAsia"/>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0F8B"/>
    <w:multiLevelType w:val="singleLevel"/>
    <w:tmpl w:val="37350F8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64876"/>
    <w:rsid w:val="000003D9"/>
    <w:rsid w:val="00000AED"/>
    <w:rsid w:val="00006D6E"/>
    <w:rsid w:val="00006F95"/>
    <w:rsid w:val="00006FEA"/>
    <w:rsid w:val="000127E9"/>
    <w:rsid w:val="00016502"/>
    <w:rsid w:val="000209C6"/>
    <w:rsid w:val="00024E82"/>
    <w:rsid w:val="000263BB"/>
    <w:rsid w:val="0003382C"/>
    <w:rsid w:val="00035F1A"/>
    <w:rsid w:val="0003615D"/>
    <w:rsid w:val="0003634E"/>
    <w:rsid w:val="00036BEC"/>
    <w:rsid w:val="0004076D"/>
    <w:rsid w:val="000413F5"/>
    <w:rsid w:val="000415DC"/>
    <w:rsid w:val="000430E3"/>
    <w:rsid w:val="000432AA"/>
    <w:rsid w:val="00043C7E"/>
    <w:rsid w:val="00044B6B"/>
    <w:rsid w:val="0005366D"/>
    <w:rsid w:val="00054003"/>
    <w:rsid w:val="000554FF"/>
    <w:rsid w:val="000556F7"/>
    <w:rsid w:val="0005603F"/>
    <w:rsid w:val="00057815"/>
    <w:rsid w:val="00057C98"/>
    <w:rsid w:val="000602B0"/>
    <w:rsid w:val="00060D6D"/>
    <w:rsid w:val="0006138D"/>
    <w:rsid w:val="00064D28"/>
    <w:rsid w:val="00070BFC"/>
    <w:rsid w:val="00073423"/>
    <w:rsid w:val="00073F8C"/>
    <w:rsid w:val="00076B20"/>
    <w:rsid w:val="00080580"/>
    <w:rsid w:val="00081524"/>
    <w:rsid w:val="000829E3"/>
    <w:rsid w:val="00083B03"/>
    <w:rsid w:val="00083B0C"/>
    <w:rsid w:val="00085D7F"/>
    <w:rsid w:val="000903BB"/>
    <w:rsid w:val="00090BC2"/>
    <w:rsid w:val="00095506"/>
    <w:rsid w:val="000A20DE"/>
    <w:rsid w:val="000A3BD5"/>
    <w:rsid w:val="000A5459"/>
    <w:rsid w:val="000B1CC2"/>
    <w:rsid w:val="000B27D9"/>
    <w:rsid w:val="000B35AE"/>
    <w:rsid w:val="000B4B98"/>
    <w:rsid w:val="000B51EC"/>
    <w:rsid w:val="000B5CE6"/>
    <w:rsid w:val="000B6CEF"/>
    <w:rsid w:val="000B6DCD"/>
    <w:rsid w:val="000B7A1A"/>
    <w:rsid w:val="000C2B97"/>
    <w:rsid w:val="000C307B"/>
    <w:rsid w:val="000C64DB"/>
    <w:rsid w:val="000C726C"/>
    <w:rsid w:val="000D026F"/>
    <w:rsid w:val="000D2584"/>
    <w:rsid w:val="000D313F"/>
    <w:rsid w:val="000E124F"/>
    <w:rsid w:val="000E1518"/>
    <w:rsid w:val="000E1D76"/>
    <w:rsid w:val="000E3CF1"/>
    <w:rsid w:val="000E4245"/>
    <w:rsid w:val="000E5B51"/>
    <w:rsid w:val="000F2828"/>
    <w:rsid w:val="000F5478"/>
    <w:rsid w:val="000F6E01"/>
    <w:rsid w:val="00100B47"/>
    <w:rsid w:val="00101570"/>
    <w:rsid w:val="00101A54"/>
    <w:rsid w:val="001020CB"/>
    <w:rsid w:val="00102315"/>
    <w:rsid w:val="001043A7"/>
    <w:rsid w:val="00116E92"/>
    <w:rsid w:val="00120A7D"/>
    <w:rsid w:val="00120B79"/>
    <w:rsid w:val="00121B1E"/>
    <w:rsid w:val="00122DD9"/>
    <w:rsid w:val="00123C3B"/>
    <w:rsid w:val="0012708C"/>
    <w:rsid w:val="00130354"/>
    <w:rsid w:val="00131F3E"/>
    <w:rsid w:val="0013207D"/>
    <w:rsid w:val="00132536"/>
    <w:rsid w:val="001353E0"/>
    <w:rsid w:val="00135D61"/>
    <w:rsid w:val="00141B4C"/>
    <w:rsid w:val="00142A7A"/>
    <w:rsid w:val="00143576"/>
    <w:rsid w:val="0015069D"/>
    <w:rsid w:val="00151945"/>
    <w:rsid w:val="00151ED4"/>
    <w:rsid w:val="00154344"/>
    <w:rsid w:val="0015517A"/>
    <w:rsid w:val="00155EF5"/>
    <w:rsid w:val="00156030"/>
    <w:rsid w:val="00157DBD"/>
    <w:rsid w:val="00160540"/>
    <w:rsid w:val="00164B68"/>
    <w:rsid w:val="00167718"/>
    <w:rsid w:val="001704FD"/>
    <w:rsid w:val="001712EA"/>
    <w:rsid w:val="00172054"/>
    <w:rsid w:val="0017624A"/>
    <w:rsid w:val="00176579"/>
    <w:rsid w:val="001809F7"/>
    <w:rsid w:val="00180ECA"/>
    <w:rsid w:val="00181FAC"/>
    <w:rsid w:val="00184806"/>
    <w:rsid w:val="00184FFD"/>
    <w:rsid w:val="00185C49"/>
    <w:rsid w:val="00192E22"/>
    <w:rsid w:val="00196AF4"/>
    <w:rsid w:val="00197182"/>
    <w:rsid w:val="001A3F1D"/>
    <w:rsid w:val="001A4798"/>
    <w:rsid w:val="001A48DA"/>
    <w:rsid w:val="001A5A6E"/>
    <w:rsid w:val="001B44E9"/>
    <w:rsid w:val="001B52EA"/>
    <w:rsid w:val="001B549F"/>
    <w:rsid w:val="001B5659"/>
    <w:rsid w:val="001B57E4"/>
    <w:rsid w:val="001B5D28"/>
    <w:rsid w:val="001B6583"/>
    <w:rsid w:val="001C189A"/>
    <w:rsid w:val="001C2016"/>
    <w:rsid w:val="001C26AA"/>
    <w:rsid w:val="001C41E9"/>
    <w:rsid w:val="001C4A0B"/>
    <w:rsid w:val="001C5EE1"/>
    <w:rsid w:val="001C6080"/>
    <w:rsid w:val="001C645A"/>
    <w:rsid w:val="001C64FF"/>
    <w:rsid w:val="001C6CD1"/>
    <w:rsid w:val="001C7107"/>
    <w:rsid w:val="001D0A12"/>
    <w:rsid w:val="001D177F"/>
    <w:rsid w:val="001D3F07"/>
    <w:rsid w:val="001E171F"/>
    <w:rsid w:val="001E4938"/>
    <w:rsid w:val="001E4B4C"/>
    <w:rsid w:val="001E616F"/>
    <w:rsid w:val="001E787A"/>
    <w:rsid w:val="001F1397"/>
    <w:rsid w:val="001F17B8"/>
    <w:rsid w:val="001F2BB8"/>
    <w:rsid w:val="001F2E39"/>
    <w:rsid w:val="001F59BB"/>
    <w:rsid w:val="001F651E"/>
    <w:rsid w:val="001F6D8B"/>
    <w:rsid w:val="001F7608"/>
    <w:rsid w:val="00200918"/>
    <w:rsid w:val="0020607C"/>
    <w:rsid w:val="00206B8D"/>
    <w:rsid w:val="00210A94"/>
    <w:rsid w:val="00212359"/>
    <w:rsid w:val="00214086"/>
    <w:rsid w:val="00217160"/>
    <w:rsid w:val="0022048D"/>
    <w:rsid w:val="0022695D"/>
    <w:rsid w:val="00226A5E"/>
    <w:rsid w:val="0023092E"/>
    <w:rsid w:val="00231077"/>
    <w:rsid w:val="00235CA7"/>
    <w:rsid w:val="002370E8"/>
    <w:rsid w:val="00241031"/>
    <w:rsid w:val="00241A86"/>
    <w:rsid w:val="00244A54"/>
    <w:rsid w:val="002501F0"/>
    <w:rsid w:val="0025135F"/>
    <w:rsid w:val="00251EE7"/>
    <w:rsid w:val="00254EBF"/>
    <w:rsid w:val="00255B18"/>
    <w:rsid w:val="00260626"/>
    <w:rsid w:val="0026532E"/>
    <w:rsid w:val="002657AB"/>
    <w:rsid w:val="00266C33"/>
    <w:rsid w:val="002670C2"/>
    <w:rsid w:val="00270DDB"/>
    <w:rsid w:val="00275DF3"/>
    <w:rsid w:val="00277E4E"/>
    <w:rsid w:val="002813DC"/>
    <w:rsid w:val="00281EC4"/>
    <w:rsid w:val="00282E5F"/>
    <w:rsid w:val="002976A3"/>
    <w:rsid w:val="002A2652"/>
    <w:rsid w:val="002A4FE7"/>
    <w:rsid w:val="002A7687"/>
    <w:rsid w:val="002A7F57"/>
    <w:rsid w:val="002B0D8D"/>
    <w:rsid w:val="002B1900"/>
    <w:rsid w:val="002C03E2"/>
    <w:rsid w:val="002C6855"/>
    <w:rsid w:val="002C758E"/>
    <w:rsid w:val="002C7D99"/>
    <w:rsid w:val="002D0052"/>
    <w:rsid w:val="002D1592"/>
    <w:rsid w:val="002D170C"/>
    <w:rsid w:val="002D2DC1"/>
    <w:rsid w:val="002D460B"/>
    <w:rsid w:val="002D5F0E"/>
    <w:rsid w:val="002E096C"/>
    <w:rsid w:val="002E3A24"/>
    <w:rsid w:val="002E4927"/>
    <w:rsid w:val="002F268B"/>
    <w:rsid w:val="002F374F"/>
    <w:rsid w:val="002F59AC"/>
    <w:rsid w:val="00300807"/>
    <w:rsid w:val="00302F44"/>
    <w:rsid w:val="00303200"/>
    <w:rsid w:val="003054D7"/>
    <w:rsid w:val="0031184F"/>
    <w:rsid w:val="00321DF5"/>
    <w:rsid w:val="00323BC6"/>
    <w:rsid w:val="00324E12"/>
    <w:rsid w:val="00324E6E"/>
    <w:rsid w:val="00325666"/>
    <w:rsid w:val="0032784A"/>
    <w:rsid w:val="003325CB"/>
    <w:rsid w:val="00332845"/>
    <w:rsid w:val="0033496F"/>
    <w:rsid w:val="00334F41"/>
    <w:rsid w:val="00335BCD"/>
    <w:rsid w:val="00335CB3"/>
    <w:rsid w:val="0033608A"/>
    <w:rsid w:val="003408EA"/>
    <w:rsid w:val="003437D4"/>
    <w:rsid w:val="00344CFE"/>
    <w:rsid w:val="003473CC"/>
    <w:rsid w:val="00347A1E"/>
    <w:rsid w:val="00352670"/>
    <w:rsid w:val="00352842"/>
    <w:rsid w:val="00354640"/>
    <w:rsid w:val="00362CC6"/>
    <w:rsid w:val="00363AAD"/>
    <w:rsid w:val="003640B9"/>
    <w:rsid w:val="00371454"/>
    <w:rsid w:val="00371571"/>
    <w:rsid w:val="00375DB0"/>
    <w:rsid w:val="0038247E"/>
    <w:rsid w:val="003844E9"/>
    <w:rsid w:val="00384512"/>
    <w:rsid w:val="00392143"/>
    <w:rsid w:val="00394C82"/>
    <w:rsid w:val="003A04F2"/>
    <w:rsid w:val="003A1B87"/>
    <w:rsid w:val="003A23A3"/>
    <w:rsid w:val="003A3417"/>
    <w:rsid w:val="003A5607"/>
    <w:rsid w:val="003A7BBF"/>
    <w:rsid w:val="003B339A"/>
    <w:rsid w:val="003B37EF"/>
    <w:rsid w:val="003B3C53"/>
    <w:rsid w:val="003B7FF8"/>
    <w:rsid w:val="003C070B"/>
    <w:rsid w:val="003C0A8C"/>
    <w:rsid w:val="003C21A2"/>
    <w:rsid w:val="003D3147"/>
    <w:rsid w:val="003D49BE"/>
    <w:rsid w:val="003D4D0B"/>
    <w:rsid w:val="003E2628"/>
    <w:rsid w:val="003E38C4"/>
    <w:rsid w:val="003E3942"/>
    <w:rsid w:val="003E551A"/>
    <w:rsid w:val="003F129E"/>
    <w:rsid w:val="003F206E"/>
    <w:rsid w:val="003F42C3"/>
    <w:rsid w:val="003F4CA1"/>
    <w:rsid w:val="003F6D11"/>
    <w:rsid w:val="004007F6"/>
    <w:rsid w:val="00401142"/>
    <w:rsid w:val="004015B0"/>
    <w:rsid w:val="00403D9D"/>
    <w:rsid w:val="00405985"/>
    <w:rsid w:val="0040703B"/>
    <w:rsid w:val="00410486"/>
    <w:rsid w:val="00410496"/>
    <w:rsid w:val="00411405"/>
    <w:rsid w:val="0041287C"/>
    <w:rsid w:val="00415206"/>
    <w:rsid w:val="00415AD0"/>
    <w:rsid w:val="00416240"/>
    <w:rsid w:val="00417CA8"/>
    <w:rsid w:val="0042187C"/>
    <w:rsid w:val="00423623"/>
    <w:rsid w:val="00425400"/>
    <w:rsid w:val="00427533"/>
    <w:rsid w:val="0043291D"/>
    <w:rsid w:val="00434F31"/>
    <w:rsid w:val="00436EBC"/>
    <w:rsid w:val="004419C8"/>
    <w:rsid w:val="0044379C"/>
    <w:rsid w:val="004505CC"/>
    <w:rsid w:val="004513D0"/>
    <w:rsid w:val="00452459"/>
    <w:rsid w:val="00453A2C"/>
    <w:rsid w:val="00455407"/>
    <w:rsid w:val="00455642"/>
    <w:rsid w:val="004610D6"/>
    <w:rsid w:val="004638C0"/>
    <w:rsid w:val="004640D7"/>
    <w:rsid w:val="0046478B"/>
    <w:rsid w:val="00470960"/>
    <w:rsid w:val="00474A2B"/>
    <w:rsid w:val="0047633D"/>
    <w:rsid w:val="0048068B"/>
    <w:rsid w:val="00481713"/>
    <w:rsid w:val="00491DED"/>
    <w:rsid w:val="00493FBA"/>
    <w:rsid w:val="0049530C"/>
    <w:rsid w:val="004962A7"/>
    <w:rsid w:val="004975AE"/>
    <w:rsid w:val="004A0574"/>
    <w:rsid w:val="004A299D"/>
    <w:rsid w:val="004A42DC"/>
    <w:rsid w:val="004A64E6"/>
    <w:rsid w:val="004B1F50"/>
    <w:rsid w:val="004B20DA"/>
    <w:rsid w:val="004B322B"/>
    <w:rsid w:val="004B3399"/>
    <w:rsid w:val="004B40BC"/>
    <w:rsid w:val="004B490B"/>
    <w:rsid w:val="004B49DD"/>
    <w:rsid w:val="004B49F8"/>
    <w:rsid w:val="004B5CA4"/>
    <w:rsid w:val="004B73C3"/>
    <w:rsid w:val="004C0735"/>
    <w:rsid w:val="004C291A"/>
    <w:rsid w:val="004C66DA"/>
    <w:rsid w:val="004C77FB"/>
    <w:rsid w:val="004D336C"/>
    <w:rsid w:val="004D33F0"/>
    <w:rsid w:val="004D4901"/>
    <w:rsid w:val="004D6C69"/>
    <w:rsid w:val="004D7EA1"/>
    <w:rsid w:val="004E0CBF"/>
    <w:rsid w:val="004E13E1"/>
    <w:rsid w:val="004E4758"/>
    <w:rsid w:val="004E5B7E"/>
    <w:rsid w:val="004E64CD"/>
    <w:rsid w:val="004E6D0B"/>
    <w:rsid w:val="004E76BE"/>
    <w:rsid w:val="004F5B00"/>
    <w:rsid w:val="004F6879"/>
    <w:rsid w:val="00500A26"/>
    <w:rsid w:val="00507B93"/>
    <w:rsid w:val="00507EC5"/>
    <w:rsid w:val="00513C3B"/>
    <w:rsid w:val="005216D3"/>
    <w:rsid w:val="00522AA3"/>
    <w:rsid w:val="00523368"/>
    <w:rsid w:val="005306BF"/>
    <w:rsid w:val="005323CC"/>
    <w:rsid w:val="0053364E"/>
    <w:rsid w:val="00536E65"/>
    <w:rsid w:val="005400C4"/>
    <w:rsid w:val="00541A2E"/>
    <w:rsid w:val="00542A5F"/>
    <w:rsid w:val="00544828"/>
    <w:rsid w:val="0054488D"/>
    <w:rsid w:val="005455C9"/>
    <w:rsid w:val="0054578D"/>
    <w:rsid w:val="00545A20"/>
    <w:rsid w:val="00546031"/>
    <w:rsid w:val="00546976"/>
    <w:rsid w:val="00552205"/>
    <w:rsid w:val="005543D6"/>
    <w:rsid w:val="0056269D"/>
    <w:rsid w:val="00562ABB"/>
    <w:rsid w:val="0056577F"/>
    <w:rsid w:val="00565B5C"/>
    <w:rsid w:val="005663C3"/>
    <w:rsid w:val="005702A0"/>
    <w:rsid w:val="005752AF"/>
    <w:rsid w:val="00575D38"/>
    <w:rsid w:val="00576C25"/>
    <w:rsid w:val="005818C2"/>
    <w:rsid w:val="0058390F"/>
    <w:rsid w:val="00583E35"/>
    <w:rsid w:val="005866BA"/>
    <w:rsid w:val="005869D9"/>
    <w:rsid w:val="00587EE5"/>
    <w:rsid w:val="00591392"/>
    <w:rsid w:val="005931FF"/>
    <w:rsid w:val="00593B67"/>
    <w:rsid w:val="005953CC"/>
    <w:rsid w:val="00595895"/>
    <w:rsid w:val="00596A5C"/>
    <w:rsid w:val="0059734A"/>
    <w:rsid w:val="00597CE9"/>
    <w:rsid w:val="00597E54"/>
    <w:rsid w:val="00597ED7"/>
    <w:rsid w:val="005A129A"/>
    <w:rsid w:val="005A1939"/>
    <w:rsid w:val="005A381F"/>
    <w:rsid w:val="005A4F1E"/>
    <w:rsid w:val="005A6184"/>
    <w:rsid w:val="005A7FBB"/>
    <w:rsid w:val="005B0286"/>
    <w:rsid w:val="005B0425"/>
    <w:rsid w:val="005B1580"/>
    <w:rsid w:val="005B4CD9"/>
    <w:rsid w:val="005B51BF"/>
    <w:rsid w:val="005B56E9"/>
    <w:rsid w:val="005B7A08"/>
    <w:rsid w:val="005C261C"/>
    <w:rsid w:val="005C2B08"/>
    <w:rsid w:val="005C2E6B"/>
    <w:rsid w:val="005C5916"/>
    <w:rsid w:val="005C7948"/>
    <w:rsid w:val="005D065D"/>
    <w:rsid w:val="005D340C"/>
    <w:rsid w:val="005E0E5B"/>
    <w:rsid w:val="005E56CC"/>
    <w:rsid w:val="005F0A26"/>
    <w:rsid w:val="005F4008"/>
    <w:rsid w:val="005F4BDD"/>
    <w:rsid w:val="005F69BE"/>
    <w:rsid w:val="006028B4"/>
    <w:rsid w:val="006043AE"/>
    <w:rsid w:val="006046B5"/>
    <w:rsid w:val="0060583F"/>
    <w:rsid w:val="0060783A"/>
    <w:rsid w:val="0061314D"/>
    <w:rsid w:val="006148A0"/>
    <w:rsid w:val="00614F12"/>
    <w:rsid w:val="00615D5B"/>
    <w:rsid w:val="00622B1F"/>
    <w:rsid w:val="00622F12"/>
    <w:rsid w:val="0062358E"/>
    <w:rsid w:val="00624F85"/>
    <w:rsid w:val="0063270C"/>
    <w:rsid w:val="00632A05"/>
    <w:rsid w:val="0063364E"/>
    <w:rsid w:val="006359C2"/>
    <w:rsid w:val="00637707"/>
    <w:rsid w:val="006417BA"/>
    <w:rsid w:val="006431D8"/>
    <w:rsid w:val="00644A86"/>
    <w:rsid w:val="00644B12"/>
    <w:rsid w:val="0064550F"/>
    <w:rsid w:val="00647516"/>
    <w:rsid w:val="006526B5"/>
    <w:rsid w:val="00655168"/>
    <w:rsid w:val="00655F6C"/>
    <w:rsid w:val="006612D1"/>
    <w:rsid w:val="0066584B"/>
    <w:rsid w:val="00671472"/>
    <w:rsid w:val="0067740D"/>
    <w:rsid w:val="00682E6C"/>
    <w:rsid w:val="00687A82"/>
    <w:rsid w:val="006910B9"/>
    <w:rsid w:val="00691AE9"/>
    <w:rsid w:val="00693CEA"/>
    <w:rsid w:val="00696A86"/>
    <w:rsid w:val="0069783B"/>
    <w:rsid w:val="006A038D"/>
    <w:rsid w:val="006A0DF8"/>
    <w:rsid w:val="006A1FD0"/>
    <w:rsid w:val="006A2E8D"/>
    <w:rsid w:val="006A4685"/>
    <w:rsid w:val="006A4F45"/>
    <w:rsid w:val="006C0535"/>
    <w:rsid w:val="006C3771"/>
    <w:rsid w:val="006C383F"/>
    <w:rsid w:val="006C3F65"/>
    <w:rsid w:val="006C4199"/>
    <w:rsid w:val="006C470C"/>
    <w:rsid w:val="006C4AC6"/>
    <w:rsid w:val="006C5651"/>
    <w:rsid w:val="006C640B"/>
    <w:rsid w:val="006C6D2F"/>
    <w:rsid w:val="006D3E23"/>
    <w:rsid w:val="006D54D9"/>
    <w:rsid w:val="006D564E"/>
    <w:rsid w:val="006D77C1"/>
    <w:rsid w:val="006E0D0D"/>
    <w:rsid w:val="006E1148"/>
    <w:rsid w:val="006E13F5"/>
    <w:rsid w:val="006E28B3"/>
    <w:rsid w:val="006E50A5"/>
    <w:rsid w:val="006E5A34"/>
    <w:rsid w:val="006E5DD8"/>
    <w:rsid w:val="006E612A"/>
    <w:rsid w:val="006E754B"/>
    <w:rsid w:val="006E7F39"/>
    <w:rsid w:val="006F1960"/>
    <w:rsid w:val="006F3F20"/>
    <w:rsid w:val="006F40D1"/>
    <w:rsid w:val="007063DD"/>
    <w:rsid w:val="00706CC4"/>
    <w:rsid w:val="00707004"/>
    <w:rsid w:val="00710384"/>
    <w:rsid w:val="007107DD"/>
    <w:rsid w:val="00711D47"/>
    <w:rsid w:val="007154B4"/>
    <w:rsid w:val="00715C74"/>
    <w:rsid w:val="00716AF6"/>
    <w:rsid w:val="0072110F"/>
    <w:rsid w:val="00723FC4"/>
    <w:rsid w:val="00724683"/>
    <w:rsid w:val="00724A39"/>
    <w:rsid w:val="0072789F"/>
    <w:rsid w:val="00733646"/>
    <w:rsid w:val="0073672C"/>
    <w:rsid w:val="00740110"/>
    <w:rsid w:val="00741566"/>
    <w:rsid w:val="00741697"/>
    <w:rsid w:val="00744BA7"/>
    <w:rsid w:val="007459C9"/>
    <w:rsid w:val="00745F52"/>
    <w:rsid w:val="007477A4"/>
    <w:rsid w:val="00747C3D"/>
    <w:rsid w:val="007500C1"/>
    <w:rsid w:val="00753E24"/>
    <w:rsid w:val="00756290"/>
    <w:rsid w:val="00760F84"/>
    <w:rsid w:val="007648C3"/>
    <w:rsid w:val="00767CE1"/>
    <w:rsid w:val="00771608"/>
    <w:rsid w:val="00773BE8"/>
    <w:rsid w:val="0077571B"/>
    <w:rsid w:val="0077577D"/>
    <w:rsid w:val="00775B0F"/>
    <w:rsid w:val="007812C7"/>
    <w:rsid w:val="00782FA3"/>
    <w:rsid w:val="007834AE"/>
    <w:rsid w:val="007846CE"/>
    <w:rsid w:val="007849EC"/>
    <w:rsid w:val="0078746A"/>
    <w:rsid w:val="00795D05"/>
    <w:rsid w:val="007963D9"/>
    <w:rsid w:val="00796B0D"/>
    <w:rsid w:val="0079777C"/>
    <w:rsid w:val="007A0649"/>
    <w:rsid w:val="007A135C"/>
    <w:rsid w:val="007A27E8"/>
    <w:rsid w:val="007A2B16"/>
    <w:rsid w:val="007A54CD"/>
    <w:rsid w:val="007A6412"/>
    <w:rsid w:val="007A73FF"/>
    <w:rsid w:val="007B057D"/>
    <w:rsid w:val="007B4E9C"/>
    <w:rsid w:val="007B5235"/>
    <w:rsid w:val="007B533C"/>
    <w:rsid w:val="007C0F14"/>
    <w:rsid w:val="007C1898"/>
    <w:rsid w:val="007C2CC6"/>
    <w:rsid w:val="007C30D3"/>
    <w:rsid w:val="007C360A"/>
    <w:rsid w:val="007C5CA1"/>
    <w:rsid w:val="007D7AC0"/>
    <w:rsid w:val="007E0069"/>
    <w:rsid w:val="007E0D40"/>
    <w:rsid w:val="007E27FC"/>
    <w:rsid w:val="007E352F"/>
    <w:rsid w:val="007E362F"/>
    <w:rsid w:val="007E6EEE"/>
    <w:rsid w:val="007E755B"/>
    <w:rsid w:val="007F1E85"/>
    <w:rsid w:val="007F3E53"/>
    <w:rsid w:val="007F7C76"/>
    <w:rsid w:val="00800E56"/>
    <w:rsid w:val="0080185D"/>
    <w:rsid w:val="00802D70"/>
    <w:rsid w:val="00803138"/>
    <w:rsid w:val="00804730"/>
    <w:rsid w:val="00806D3C"/>
    <w:rsid w:val="00806EEE"/>
    <w:rsid w:val="008071E3"/>
    <w:rsid w:val="00810E45"/>
    <w:rsid w:val="00816055"/>
    <w:rsid w:val="008165D4"/>
    <w:rsid w:val="00816621"/>
    <w:rsid w:val="00820083"/>
    <w:rsid w:val="008203E7"/>
    <w:rsid w:val="00825052"/>
    <w:rsid w:val="00827E06"/>
    <w:rsid w:val="008302A4"/>
    <w:rsid w:val="0083338B"/>
    <w:rsid w:val="00834562"/>
    <w:rsid w:val="0084127A"/>
    <w:rsid w:val="00843C8D"/>
    <w:rsid w:val="008449A5"/>
    <w:rsid w:val="008534A6"/>
    <w:rsid w:val="00853A78"/>
    <w:rsid w:val="00854373"/>
    <w:rsid w:val="008559AF"/>
    <w:rsid w:val="0086294E"/>
    <w:rsid w:val="00874D17"/>
    <w:rsid w:val="00876A85"/>
    <w:rsid w:val="0087724D"/>
    <w:rsid w:val="008812B1"/>
    <w:rsid w:val="00881C4A"/>
    <w:rsid w:val="0088210F"/>
    <w:rsid w:val="00882EAD"/>
    <w:rsid w:val="00883CF5"/>
    <w:rsid w:val="00884973"/>
    <w:rsid w:val="0088576E"/>
    <w:rsid w:val="00885ACD"/>
    <w:rsid w:val="008865D1"/>
    <w:rsid w:val="00887C6F"/>
    <w:rsid w:val="00891940"/>
    <w:rsid w:val="008922A8"/>
    <w:rsid w:val="00892BD1"/>
    <w:rsid w:val="008941B2"/>
    <w:rsid w:val="00897302"/>
    <w:rsid w:val="008A06CE"/>
    <w:rsid w:val="008A09E8"/>
    <w:rsid w:val="008B0311"/>
    <w:rsid w:val="008B1EAC"/>
    <w:rsid w:val="008C0FB0"/>
    <w:rsid w:val="008C117D"/>
    <w:rsid w:val="008C1980"/>
    <w:rsid w:val="008C2374"/>
    <w:rsid w:val="008C3E90"/>
    <w:rsid w:val="008C6E68"/>
    <w:rsid w:val="008C734E"/>
    <w:rsid w:val="008D22F9"/>
    <w:rsid w:val="008D697F"/>
    <w:rsid w:val="008E3D55"/>
    <w:rsid w:val="008E4860"/>
    <w:rsid w:val="008F003B"/>
    <w:rsid w:val="008F02A8"/>
    <w:rsid w:val="008F18A2"/>
    <w:rsid w:val="008F3034"/>
    <w:rsid w:val="008F30C3"/>
    <w:rsid w:val="008F41E9"/>
    <w:rsid w:val="008F48F2"/>
    <w:rsid w:val="008F4D90"/>
    <w:rsid w:val="008F5B8C"/>
    <w:rsid w:val="008F6006"/>
    <w:rsid w:val="008F7F78"/>
    <w:rsid w:val="009033ED"/>
    <w:rsid w:val="00903C40"/>
    <w:rsid w:val="00905704"/>
    <w:rsid w:val="0091122B"/>
    <w:rsid w:val="00912620"/>
    <w:rsid w:val="0091455A"/>
    <w:rsid w:val="009150FD"/>
    <w:rsid w:val="00916BC7"/>
    <w:rsid w:val="00920299"/>
    <w:rsid w:val="0092250A"/>
    <w:rsid w:val="00923848"/>
    <w:rsid w:val="009241BF"/>
    <w:rsid w:val="00924AA3"/>
    <w:rsid w:val="00925935"/>
    <w:rsid w:val="00926668"/>
    <w:rsid w:val="00931815"/>
    <w:rsid w:val="00932241"/>
    <w:rsid w:val="009350E4"/>
    <w:rsid w:val="00937601"/>
    <w:rsid w:val="00941EFE"/>
    <w:rsid w:val="00943246"/>
    <w:rsid w:val="0094713B"/>
    <w:rsid w:val="00952571"/>
    <w:rsid w:val="0095612B"/>
    <w:rsid w:val="00957B74"/>
    <w:rsid w:val="00961E4C"/>
    <w:rsid w:val="00963060"/>
    <w:rsid w:val="00965987"/>
    <w:rsid w:val="009812D1"/>
    <w:rsid w:val="009813DB"/>
    <w:rsid w:val="009869CC"/>
    <w:rsid w:val="00990B07"/>
    <w:rsid w:val="009957E1"/>
    <w:rsid w:val="00995A3C"/>
    <w:rsid w:val="009A4AD1"/>
    <w:rsid w:val="009B2BE6"/>
    <w:rsid w:val="009B376D"/>
    <w:rsid w:val="009B45F2"/>
    <w:rsid w:val="009B5F62"/>
    <w:rsid w:val="009B6E2C"/>
    <w:rsid w:val="009B7689"/>
    <w:rsid w:val="009C3139"/>
    <w:rsid w:val="009C5BEE"/>
    <w:rsid w:val="009D1EF0"/>
    <w:rsid w:val="009D25EB"/>
    <w:rsid w:val="009D30DC"/>
    <w:rsid w:val="009D4788"/>
    <w:rsid w:val="009D4F28"/>
    <w:rsid w:val="009E5BB2"/>
    <w:rsid w:val="009E7042"/>
    <w:rsid w:val="009F4573"/>
    <w:rsid w:val="009F4B69"/>
    <w:rsid w:val="00A02286"/>
    <w:rsid w:val="00A04BE7"/>
    <w:rsid w:val="00A0728B"/>
    <w:rsid w:val="00A11003"/>
    <w:rsid w:val="00A11FDF"/>
    <w:rsid w:val="00A126C6"/>
    <w:rsid w:val="00A12B47"/>
    <w:rsid w:val="00A13228"/>
    <w:rsid w:val="00A16BEB"/>
    <w:rsid w:val="00A17D5F"/>
    <w:rsid w:val="00A17EB0"/>
    <w:rsid w:val="00A21E75"/>
    <w:rsid w:val="00A23961"/>
    <w:rsid w:val="00A27814"/>
    <w:rsid w:val="00A326E1"/>
    <w:rsid w:val="00A33316"/>
    <w:rsid w:val="00A33F62"/>
    <w:rsid w:val="00A345D1"/>
    <w:rsid w:val="00A40450"/>
    <w:rsid w:val="00A40490"/>
    <w:rsid w:val="00A4068F"/>
    <w:rsid w:val="00A40711"/>
    <w:rsid w:val="00A41CD7"/>
    <w:rsid w:val="00A427DC"/>
    <w:rsid w:val="00A43B33"/>
    <w:rsid w:val="00A43B82"/>
    <w:rsid w:val="00A46428"/>
    <w:rsid w:val="00A47564"/>
    <w:rsid w:val="00A54C6C"/>
    <w:rsid w:val="00A56240"/>
    <w:rsid w:val="00A5639A"/>
    <w:rsid w:val="00A57751"/>
    <w:rsid w:val="00A65DC6"/>
    <w:rsid w:val="00A664FA"/>
    <w:rsid w:val="00A73F53"/>
    <w:rsid w:val="00A74491"/>
    <w:rsid w:val="00A74620"/>
    <w:rsid w:val="00A74856"/>
    <w:rsid w:val="00A7703B"/>
    <w:rsid w:val="00A772AC"/>
    <w:rsid w:val="00A82199"/>
    <w:rsid w:val="00A82A73"/>
    <w:rsid w:val="00A8423B"/>
    <w:rsid w:val="00A87E77"/>
    <w:rsid w:val="00A907D2"/>
    <w:rsid w:val="00A91D5A"/>
    <w:rsid w:val="00A94D30"/>
    <w:rsid w:val="00A963BD"/>
    <w:rsid w:val="00A96C42"/>
    <w:rsid w:val="00A979D2"/>
    <w:rsid w:val="00AA0F4F"/>
    <w:rsid w:val="00AA1AA1"/>
    <w:rsid w:val="00AA30F1"/>
    <w:rsid w:val="00AA6F64"/>
    <w:rsid w:val="00AB0DA6"/>
    <w:rsid w:val="00AB143A"/>
    <w:rsid w:val="00AB2D22"/>
    <w:rsid w:val="00AB7890"/>
    <w:rsid w:val="00AC21FA"/>
    <w:rsid w:val="00AC3D67"/>
    <w:rsid w:val="00AC5290"/>
    <w:rsid w:val="00AC7211"/>
    <w:rsid w:val="00AD5BF7"/>
    <w:rsid w:val="00AD6354"/>
    <w:rsid w:val="00AD6E5B"/>
    <w:rsid w:val="00AE0462"/>
    <w:rsid w:val="00AE05B3"/>
    <w:rsid w:val="00AE10AF"/>
    <w:rsid w:val="00AE1A8E"/>
    <w:rsid w:val="00AE206E"/>
    <w:rsid w:val="00AE24D5"/>
    <w:rsid w:val="00AE7480"/>
    <w:rsid w:val="00AF241C"/>
    <w:rsid w:val="00AF763A"/>
    <w:rsid w:val="00B00B2E"/>
    <w:rsid w:val="00B01F6B"/>
    <w:rsid w:val="00B02F44"/>
    <w:rsid w:val="00B033C6"/>
    <w:rsid w:val="00B0527B"/>
    <w:rsid w:val="00B07098"/>
    <w:rsid w:val="00B11B0C"/>
    <w:rsid w:val="00B15F14"/>
    <w:rsid w:val="00B16A93"/>
    <w:rsid w:val="00B1770A"/>
    <w:rsid w:val="00B23C07"/>
    <w:rsid w:val="00B26F74"/>
    <w:rsid w:val="00B27916"/>
    <w:rsid w:val="00B310F8"/>
    <w:rsid w:val="00B313B2"/>
    <w:rsid w:val="00B3413B"/>
    <w:rsid w:val="00B35708"/>
    <w:rsid w:val="00B35AD7"/>
    <w:rsid w:val="00B36CA7"/>
    <w:rsid w:val="00B3729D"/>
    <w:rsid w:val="00B4280A"/>
    <w:rsid w:val="00B47582"/>
    <w:rsid w:val="00B47C50"/>
    <w:rsid w:val="00B547C8"/>
    <w:rsid w:val="00B55CD8"/>
    <w:rsid w:val="00B55CF4"/>
    <w:rsid w:val="00B57405"/>
    <w:rsid w:val="00B6124D"/>
    <w:rsid w:val="00B61E3E"/>
    <w:rsid w:val="00B74C7B"/>
    <w:rsid w:val="00B77A69"/>
    <w:rsid w:val="00B77C83"/>
    <w:rsid w:val="00B8499A"/>
    <w:rsid w:val="00B86BC5"/>
    <w:rsid w:val="00B96ADC"/>
    <w:rsid w:val="00B96CEF"/>
    <w:rsid w:val="00B96EF4"/>
    <w:rsid w:val="00BA1F92"/>
    <w:rsid w:val="00BA4302"/>
    <w:rsid w:val="00BB5F1E"/>
    <w:rsid w:val="00BB6961"/>
    <w:rsid w:val="00BC091A"/>
    <w:rsid w:val="00BC2418"/>
    <w:rsid w:val="00BC6F16"/>
    <w:rsid w:val="00BD0752"/>
    <w:rsid w:val="00BD419D"/>
    <w:rsid w:val="00BD5A62"/>
    <w:rsid w:val="00BD6FE3"/>
    <w:rsid w:val="00BD782C"/>
    <w:rsid w:val="00BD7C82"/>
    <w:rsid w:val="00BE1105"/>
    <w:rsid w:val="00BE3833"/>
    <w:rsid w:val="00BE7D96"/>
    <w:rsid w:val="00BF0A0F"/>
    <w:rsid w:val="00BF26D9"/>
    <w:rsid w:val="00BF2DE5"/>
    <w:rsid w:val="00BF322C"/>
    <w:rsid w:val="00BF5BAD"/>
    <w:rsid w:val="00BF7810"/>
    <w:rsid w:val="00BF7E2C"/>
    <w:rsid w:val="00C02A43"/>
    <w:rsid w:val="00C0410E"/>
    <w:rsid w:val="00C04147"/>
    <w:rsid w:val="00C0751E"/>
    <w:rsid w:val="00C12CEB"/>
    <w:rsid w:val="00C12D8B"/>
    <w:rsid w:val="00C14E5E"/>
    <w:rsid w:val="00C1533E"/>
    <w:rsid w:val="00C15FED"/>
    <w:rsid w:val="00C16212"/>
    <w:rsid w:val="00C20646"/>
    <w:rsid w:val="00C20AE8"/>
    <w:rsid w:val="00C21AEB"/>
    <w:rsid w:val="00C23F8D"/>
    <w:rsid w:val="00C245C6"/>
    <w:rsid w:val="00C25FB8"/>
    <w:rsid w:val="00C3203D"/>
    <w:rsid w:val="00C326FB"/>
    <w:rsid w:val="00C34AA4"/>
    <w:rsid w:val="00C40483"/>
    <w:rsid w:val="00C423A5"/>
    <w:rsid w:val="00C42E51"/>
    <w:rsid w:val="00C47DC4"/>
    <w:rsid w:val="00C5095B"/>
    <w:rsid w:val="00C5161E"/>
    <w:rsid w:val="00C52F7F"/>
    <w:rsid w:val="00C5355B"/>
    <w:rsid w:val="00C5485A"/>
    <w:rsid w:val="00C548AC"/>
    <w:rsid w:val="00C64175"/>
    <w:rsid w:val="00C657BC"/>
    <w:rsid w:val="00C6717B"/>
    <w:rsid w:val="00C67BB1"/>
    <w:rsid w:val="00C712F1"/>
    <w:rsid w:val="00C74C86"/>
    <w:rsid w:val="00C75653"/>
    <w:rsid w:val="00C758EB"/>
    <w:rsid w:val="00C75F32"/>
    <w:rsid w:val="00C75F68"/>
    <w:rsid w:val="00C76D2F"/>
    <w:rsid w:val="00C808E9"/>
    <w:rsid w:val="00C80FF1"/>
    <w:rsid w:val="00C81D17"/>
    <w:rsid w:val="00C82662"/>
    <w:rsid w:val="00C82E49"/>
    <w:rsid w:val="00C83647"/>
    <w:rsid w:val="00C83D0B"/>
    <w:rsid w:val="00C85574"/>
    <w:rsid w:val="00C85BCD"/>
    <w:rsid w:val="00C900D2"/>
    <w:rsid w:val="00C90C89"/>
    <w:rsid w:val="00C91FD7"/>
    <w:rsid w:val="00C93419"/>
    <w:rsid w:val="00C93479"/>
    <w:rsid w:val="00CA00BE"/>
    <w:rsid w:val="00CA41D5"/>
    <w:rsid w:val="00CA4818"/>
    <w:rsid w:val="00CA57D6"/>
    <w:rsid w:val="00CA6FBF"/>
    <w:rsid w:val="00CA7695"/>
    <w:rsid w:val="00CA7E18"/>
    <w:rsid w:val="00CB670D"/>
    <w:rsid w:val="00CC095F"/>
    <w:rsid w:val="00CC0E55"/>
    <w:rsid w:val="00CC20BD"/>
    <w:rsid w:val="00CC3017"/>
    <w:rsid w:val="00CC5EA0"/>
    <w:rsid w:val="00CC7C8D"/>
    <w:rsid w:val="00CD14E3"/>
    <w:rsid w:val="00CD3E8B"/>
    <w:rsid w:val="00CD7FA6"/>
    <w:rsid w:val="00CE12BB"/>
    <w:rsid w:val="00CE1531"/>
    <w:rsid w:val="00CE186E"/>
    <w:rsid w:val="00CE3244"/>
    <w:rsid w:val="00CE59BD"/>
    <w:rsid w:val="00CE6BF1"/>
    <w:rsid w:val="00CE7454"/>
    <w:rsid w:val="00CF0E31"/>
    <w:rsid w:val="00CF160B"/>
    <w:rsid w:val="00CF5CAE"/>
    <w:rsid w:val="00CF7381"/>
    <w:rsid w:val="00D01D98"/>
    <w:rsid w:val="00D02746"/>
    <w:rsid w:val="00D0410B"/>
    <w:rsid w:val="00D10772"/>
    <w:rsid w:val="00D1622C"/>
    <w:rsid w:val="00D17C40"/>
    <w:rsid w:val="00D17CC4"/>
    <w:rsid w:val="00D20C19"/>
    <w:rsid w:val="00D24D9D"/>
    <w:rsid w:val="00D24EC3"/>
    <w:rsid w:val="00D2590C"/>
    <w:rsid w:val="00D25954"/>
    <w:rsid w:val="00D27ABF"/>
    <w:rsid w:val="00D30694"/>
    <w:rsid w:val="00D316EA"/>
    <w:rsid w:val="00D31C16"/>
    <w:rsid w:val="00D31E5A"/>
    <w:rsid w:val="00D330A9"/>
    <w:rsid w:val="00D37A74"/>
    <w:rsid w:val="00D421F6"/>
    <w:rsid w:val="00D44D68"/>
    <w:rsid w:val="00D4559A"/>
    <w:rsid w:val="00D45912"/>
    <w:rsid w:val="00D45FF7"/>
    <w:rsid w:val="00D514AA"/>
    <w:rsid w:val="00D51A62"/>
    <w:rsid w:val="00D57E8E"/>
    <w:rsid w:val="00D64876"/>
    <w:rsid w:val="00D71F26"/>
    <w:rsid w:val="00D73B33"/>
    <w:rsid w:val="00D75797"/>
    <w:rsid w:val="00D7674C"/>
    <w:rsid w:val="00D76AF3"/>
    <w:rsid w:val="00D8007A"/>
    <w:rsid w:val="00D81689"/>
    <w:rsid w:val="00D8636F"/>
    <w:rsid w:val="00D86EB8"/>
    <w:rsid w:val="00D924B4"/>
    <w:rsid w:val="00D9259E"/>
    <w:rsid w:val="00D9370F"/>
    <w:rsid w:val="00D95450"/>
    <w:rsid w:val="00DA0365"/>
    <w:rsid w:val="00DA15E7"/>
    <w:rsid w:val="00DA1D11"/>
    <w:rsid w:val="00DA2741"/>
    <w:rsid w:val="00DA29E5"/>
    <w:rsid w:val="00DA29F9"/>
    <w:rsid w:val="00DA2CBD"/>
    <w:rsid w:val="00DA40A3"/>
    <w:rsid w:val="00DA6708"/>
    <w:rsid w:val="00DA7762"/>
    <w:rsid w:val="00DB13CF"/>
    <w:rsid w:val="00DB22E8"/>
    <w:rsid w:val="00DB4656"/>
    <w:rsid w:val="00DB4E11"/>
    <w:rsid w:val="00DB78EE"/>
    <w:rsid w:val="00DC3AFC"/>
    <w:rsid w:val="00DC44A8"/>
    <w:rsid w:val="00DC64AF"/>
    <w:rsid w:val="00DD1B5B"/>
    <w:rsid w:val="00DD2586"/>
    <w:rsid w:val="00DD7655"/>
    <w:rsid w:val="00DE1E4C"/>
    <w:rsid w:val="00DE1FA1"/>
    <w:rsid w:val="00DE21E2"/>
    <w:rsid w:val="00DE4D72"/>
    <w:rsid w:val="00DF104F"/>
    <w:rsid w:val="00DF169B"/>
    <w:rsid w:val="00DF28E4"/>
    <w:rsid w:val="00DF3F89"/>
    <w:rsid w:val="00DF4FD4"/>
    <w:rsid w:val="00DF5427"/>
    <w:rsid w:val="00DF7E7B"/>
    <w:rsid w:val="00E00E56"/>
    <w:rsid w:val="00E018AC"/>
    <w:rsid w:val="00E026E4"/>
    <w:rsid w:val="00E0588B"/>
    <w:rsid w:val="00E06CF2"/>
    <w:rsid w:val="00E109F8"/>
    <w:rsid w:val="00E1586D"/>
    <w:rsid w:val="00E16BA6"/>
    <w:rsid w:val="00E17192"/>
    <w:rsid w:val="00E17AB8"/>
    <w:rsid w:val="00E21490"/>
    <w:rsid w:val="00E216A1"/>
    <w:rsid w:val="00E220BE"/>
    <w:rsid w:val="00E22D3D"/>
    <w:rsid w:val="00E2315F"/>
    <w:rsid w:val="00E30532"/>
    <w:rsid w:val="00E31532"/>
    <w:rsid w:val="00E416D6"/>
    <w:rsid w:val="00E44FF4"/>
    <w:rsid w:val="00E4554D"/>
    <w:rsid w:val="00E4558D"/>
    <w:rsid w:val="00E50843"/>
    <w:rsid w:val="00E50E54"/>
    <w:rsid w:val="00E5197B"/>
    <w:rsid w:val="00E51DFF"/>
    <w:rsid w:val="00E53D74"/>
    <w:rsid w:val="00E6400D"/>
    <w:rsid w:val="00E66634"/>
    <w:rsid w:val="00E6711C"/>
    <w:rsid w:val="00E70712"/>
    <w:rsid w:val="00E71C62"/>
    <w:rsid w:val="00E71DAB"/>
    <w:rsid w:val="00E71FEA"/>
    <w:rsid w:val="00E74BA6"/>
    <w:rsid w:val="00E76572"/>
    <w:rsid w:val="00E76B14"/>
    <w:rsid w:val="00E76C30"/>
    <w:rsid w:val="00E82773"/>
    <w:rsid w:val="00E83C43"/>
    <w:rsid w:val="00E8471A"/>
    <w:rsid w:val="00E916A5"/>
    <w:rsid w:val="00E91AF8"/>
    <w:rsid w:val="00E929B8"/>
    <w:rsid w:val="00E939C3"/>
    <w:rsid w:val="00E9445F"/>
    <w:rsid w:val="00EB01D4"/>
    <w:rsid w:val="00EB3178"/>
    <w:rsid w:val="00EB5122"/>
    <w:rsid w:val="00EB6AE3"/>
    <w:rsid w:val="00EC0FC6"/>
    <w:rsid w:val="00EC209E"/>
    <w:rsid w:val="00EC57AE"/>
    <w:rsid w:val="00EC5AA2"/>
    <w:rsid w:val="00EC5B0E"/>
    <w:rsid w:val="00EC7212"/>
    <w:rsid w:val="00EC72CF"/>
    <w:rsid w:val="00EC7BEA"/>
    <w:rsid w:val="00ED0727"/>
    <w:rsid w:val="00ED34B4"/>
    <w:rsid w:val="00ED7001"/>
    <w:rsid w:val="00EE006B"/>
    <w:rsid w:val="00EE7183"/>
    <w:rsid w:val="00EF0625"/>
    <w:rsid w:val="00EF16BB"/>
    <w:rsid w:val="00EF3853"/>
    <w:rsid w:val="00EF3DEF"/>
    <w:rsid w:val="00EF4066"/>
    <w:rsid w:val="00EF516A"/>
    <w:rsid w:val="00EF585C"/>
    <w:rsid w:val="00EF6877"/>
    <w:rsid w:val="00EF7DE2"/>
    <w:rsid w:val="00F00A90"/>
    <w:rsid w:val="00F0304E"/>
    <w:rsid w:val="00F03903"/>
    <w:rsid w:val="00F04B37"/>
    <w:rsid w:val="00F071AD"/>
    <w:rsid w:val="00F11BCB"/>
    <w:rsid w:val="00F11DC3"/>
    <w:rsid w:val="00F13A76"/>
    <w:rsid w:val="00F15238"/>
    <w:rsid w:val="00F17617"/>
    <w:rsid w:val="00F17A57"/>
    <w:rsid w:val="00F21E5A"/>
    <w:rsid w:val="00F30AA0"/>
    <w:rsid w:val="00F3195E"/>
    <w:rsid w:val="00F34A10"/>
    <w:rsid w:val="00F431CF"/>
    <w:rsid w:val="00F44899"/>
    <w:rsid w:val="00F46D47"/>
    <w:rsid w:val="00F474C9"/>
    <w:rsid w:val="00F47B9D"/>
    <w:rsid w:val="00F5193A"/>
    <w:rsid w:val="00F5605E"/>
    <w:rsid w:val="00F60ACE"/>
    <w:rsid w:val="00F60ED5"/>
    <w:rsid w:val="00F6107F"/>
    <w:rsid w:val="00F62A19"/>
    <w:rsid w:val="00F642AC"/>
    <w:rsid w:val="00F6488B"/>
    <w:rsid w:val="00F652FB"/>
    <w:rsid w:val="00F7002D"/>
    <w:rsid w:val="00F700DF"/>
    <w:rsid w:val="00F70156"/>
    <w:rsid w:val="00F805DF"/>
    <w:rsid w:val="00F8237F"/>
    <w:rsid w:val="00F85146"/>
    <w:rsid w:val="00F866AE"/>
    <w:rsid w:val="00F8708F"/>
    <w:rsid w:val="00F87C7F"/>
    <w:rsid w:val="00F906C2"/>
    <w:rsid w:val="00F92236"/>
    <w:rsid w:val="00F9255F"/>
    <w:rsid w:val="00F96BD7"/>
    <w:rsid w:val="00F9774E"/>
    <w:rsid w:val="00FA2A33"/>
    <w:rsid w:val="00FA67F0"/>
    <w:rsid w:val="00FB066D"/>
    <w:rsid w:val="00FB1775"/>
    <w:rsid w:val="00FB2242"/>
    <w:rsid w:val="00FB264A"/>
    <w:rsid w:val="00FB3454"/>
    <w:rsid w:val="00FB484F"/>
    <w:rsid w:val="00FB51D4"/>
    <w:rsid w:val="00FB5F04"/>
    <w:rsid w:val="00FB7892"/>
    <w:rsid w:val="00FC0B36"/>
    <w:rsid w:val="00FC3306"/>
    <w:rsid w:val="00FC64D8"/>
    <w:rsid w:val="00FD07D7"/>
    <w:rsid w:val="00FD399A"/>
    <w:rsid w:val="00FD4BE5"/>
    <w:rsid w:val="00FD4F02"/>
    <w:rsid w:val="00FD7199"/>
    <w:rsid w:val="00FD722D"/>
    <w:rsid w:val="00FE0210"/>
    <w:rsid w:val="00FE33AF"/>
    <w:rsid w:val="00FE51BD"/>
    <w:rsid w:val="00FE60FB"/>
    <w:rsid w:val="00FF051A"/>
    <w:rsid w:val="00FF362A"/>
    <w:rsid w:val="00FF5CF1"/>
    <w:rsid w:val="00FF7E90"/>
    <w:rsid w:val="01F81A92"/>
    <w:rsid w:val="07F31808"/>
    <w:rsid w:val="09DA7622"/>
    <w:rsid w:val="0CA93DDF"/>
    <w:rsid w:val="0EAA36D1"/>
    <w:rsid w:val="0EBF3AEE"/>
    <w:rsid w:val="0F733F4F"/>
    <w:rsid w:val="172B25DA"/>
    <w:rsid w:val="184E31F6"/>
    <w:rsid w:val="1ABD4BCB"/>
    <w:rsid w:val="1DA977B5"/>
    <w:rsid w:val="22E941E6"/>
    <w:rsid w:val="24B338A7"/>
    <w:rsid w:val="25E94A95"/>
    <w:rsid w:val="28176B13"/>
    <w:rsid w:val="29D57B56"/>
    <w:rsid w:val="2BD37DE5"/>
    <w:rsid w:val="2C0625A5"/>
    <w:rsid w:val="2E9D5154"/>
    <w:rsid w:val="336A0C63"/>
    <w:rsid w:val="33D4519E"/>
    <w:rsid w:val="36786514"/>
    <w:rsid w:val="381F2684"/>
    <w:rsid w:val="3D0F5D0D"/>
    <w:rsid w:val="3E130CFD"/>
    <w:rsid w:val="471244E7"/>
    <w:rsid w:val="4C671FED"/>
    <w:rsid w:val="4D013E3A"/>
    <w:rsid w:val="4EE829B1"/>
    <w:rsid w:val="4FD16A89"/>
    <w:rsid w:val="56110588"/>
    <w:rsid w:val="578657E6"/>
    <w:rsid w:val="5A2A37C8"/>
    <w:rsid w:val="5BC93023"/>
    <w:rsid w:val="5BCA0ACD"/>
    <w:rsid w:val="5EA53982"/>
    <w:rsid w:val="5FD9564D"/>
    <w:rsid w:val="61AF1992"/>
    <w:rsid w:val="624E417D"/>
    <w:rsid w:val="62F6421F"/>
    <w:rsid w:val="655A47F5"/>
    <w:rsid w:val="65E65EBD"/>
    <w:rsid w:val="67AA3863"/>
    <w:rsid w:val="68425017"/>
    <w:rsid w:val="68995447"/>
    <w:rsid w:val="6C4460F4"/>
    <w:rsid w:val="6D3D525A"/>
    <w:rsid w:val="6EC967A5"/>
    <w:rsid w:val="6F876CE4"/>
    <w:rsid w:val="735752F8"/>
    <w:rsid w:val="73951B96"/>
    <w:rsid w:val="7A455754"/>
    <w:rsid w:val="7D921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0"/>
    <w:semiHidden/>
    <w:qFormat/>
    <w:uiPriority w:val="0"/>
    <w:rPr>
      <w:b/>
      <w:bCs/>
    </w:rPr>
  </w:style>
  <w:style w:type="paragraph" w:styleId="3">
    <w:name w:val="annotation text"/>
    <w:basedOn w:val="1"/>
    <w:link w:val="15"/>
    <w:semiHidden/>
    <w:qFormat/>
    <w:uiPriority w:val="0"/>
    <w:pPr>
      <w:jc w:val="left"/>
    </w:pPr>
  </w:style>
  <w:style w:type="paragraph" w:styleId="4">
    <w:name w:val="Balloon Text"/>
    <w:basedOn w:val="1"/>
    <w:link w:val="16"/>
    <w:semiHidden/>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9"/>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semiHidden/>
    <w:qFormat/>
    <w:uiPriority w:val="0"/>
    <w:pPr>
      <w:snapToGrid w:val="0"/>
      <w:jc w:val="left"/>
    </w:pPr>
    <w:rPr>
      <w:sz w:val="18"/>
      <w:szCs w:val="18"/>
    </w:rPr>
  </w:style>
  <w:style w:type="character" w:styleId="9">
    <w:name w:val="page number"/>
    <w:basedOn w:val="8"/>
    <w:qFormat/>
    <w:uiPriority w:val="0"/>
    <w:rPr>
      <w:rFonts w:cs="Times New Roman"/>
    </w:rPr>
  </w:style>
  <w:style w:type="character" w:styleId="10">
    <w:name w:val="Hyperlink"/>
    <w:basedOn w:val="8"/>
    <w:qFormat/>
    <w:uiPriority w:val="0"/>
    <w:rPr>
      <w:color w:val="0000FF"/>
      <w:u w:val="single"/>
    </w:rPr>
  </w:style>
  <w:style w:type="character" w:styleId="11">
    <w:name w:val="annotation reference"/>
    <w:basedOn w:val="8"/>
    <w:semiHidden/>
    <w:qFormat/>
    <w:uiPriority w:val="0"/>
    <w:rPr>
      <w:rFonts w:cs="Times New Roman"/>
      <w:sz w:val="21"/>
      <w:szCs w:val="21"/>
    </w:rPr>
  </w:style>
  <w:style w:type="character" w:styleId="12">
    <w:name w:val="footnote reference"/>
    <w:basedOn w:val="8"/>
    <w:semiHidden/>
    <w:qFormat/>
    <w:uiPriority w:val="0"/>
    <w:rPr>
      <w:rFonts w:cs="Times New Roman"/>
      <w:vertAlign w:val="superscript"/>
    </w:rPr>
  </w:style>
  <w:style w:type="table" w:styleId="14">
    <w:name w:val="Table Grid"/>
    <w:basedOn w:val="13"/>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文字 Char"/>
    <w:basedOn w:val="8"/>
    <w:link w:val="3"/>
    <w:qFormat/>
    <w:locked/>
    <w:uiPriority w:val="0"/>
    <w:rPr>
      <w:rFonts w:cs="Times New Roman"/>
    </w:rPr>
  </w:style>
  <w:style w:type="character" w:customStyle="1" w:styleId="16">
    <w:name w:val="批注框文本 Char"/>
    <w:basedOn w:val="8"/>
    <w:link w:val="4"/>
    <w:semiHidden/>
    <w:qFormat/>
    <w:locked/>
    <w:uiPriority w:val="0"/>
    <w:rPr>
      <w:rFonts w:cs="Times New Roman"/>
      <w:sz w:val="18"/>
      <w:szCs w:val="18"/>
    </w:rPr>
  </w:style>
  <w:style w:type="character" w:customStyle="1" w:styleId="17">
    <w:name w:val="脚注文本 Char"/>
    <w:basedOn w:val="8"/>
    <w:link w:val="7"/>
    <w:semiHidden/>
    <w:qFormat/>
    <w:locked/>
    <w:uiPriority w:val="0"/>
    <w:rPr>
      <w:rFonts w:cs="Times New Roman"/>
      <w:sz w:val="18"/>
      <w:szCs w:val="18"/>
    </w:rPr>
  </w:style>
  <w:style w:type="character" w:customStyle="1" w:styleId="18">
    <w:name w:val="页脚 Char"/>
    <w:basedOn w:val="8"/>
    <w:link w:val="5"/>
    <w:qFormat/>
    <w:locked/>
    <w:uiPriority w:val="99"/>
    <w:rPr>
      <w:rFonts w:cs="Times New Roman"/>
      <w:sz w:val="18"/>
      <w:szCs w:val="18"/>
    </w:rPr>
  </w:style>
  <w:style w:type="character" w:customStyle="1" w:styleId="19">
    <w:name w:val="页眉 Char"/>
    <w:basedOn w:val="8"/>
    <w:link w:val="6"/>
    <w:semiHidden/>
    <w:qFormat/>
    <w:locked/>
    <w:uiPriority w:val="0"/>
    <w:rPr>
      <w:rFonts w:cs="Times New Roman"/>
      <w:kern w:val="2"/>
      <w:sz w:val="18"/>
      <w:szCs w:val="18"/>
    </w:rPr>
  </w:style>
  <w:style w:type="character" w:customStyle="1" w:styleId="20">
    <w:name w:val="批注主题 Char"/>
    <w:basedOn w:val="15"/>
    <w:link w:val="2"/>
    <w:semiHidden/>
    <w:qFormat/>
    <w:locked/>
    <w:uiPriority w:val="0"/>
    <w:rPr>
      <w:rFonts w:cs="Times New Roman"/>
      <w:b/>
      <w:bCs/>
      <w:kern w:val="2"/>
      <w:sz w:val="21"/>
      <w:szCs w:val="21"/>
    </w:rPr>
  </w:style>
  <w:style w:type="paragraph" w:customStyle="1" w:styleId="21">
    <w:name w:val="Revision"/>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60790-AC95-4F6E-991A-B904CA8BB24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2118</Words>
  <Characters>12076</Characters>
  <Lines>100</Lines>
  <Paragraphs>28</Paragraphs>
  <TotalTime>0</TotalTime>
  <ScaleCrop>false</ScaleCrop>
  <LinksUpToDate>false</LinksUpToDate>
  <CharactersWithSpaces>14166</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2018-07-27T00:45:00Z</dcterms:created>
  <dc:creator>彦</dc:creator>
  <cp:lastModifiedBy>pc</cp:lastModifiedBy>
  <cp:lastPrinted>2018-05-31T06:45:00Z</cp:lastPrinted>
  <dcterms:modified xsi:type="dcterms:W3CDTF">2018-12-09T07:35:06Z</dcterms:modified>
  <dc:title>《政府会计制度》与《事业单位会计制度》有关衔接问题的处理规定（模拟测试稿）</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