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仿宋"/>
          <w:b/>
          <w:color w:val="333333"/>
          <w:kern w:val="0"/>
          <w:sz w:val="36"/>
          <w:szCs w:val="36"/>
        </w:rPr>
      </w:pPr>
      <w:r>
        <w:rPr>
          <w:rFonts w:hint="eastAsia" w:ascii="华文中宋" w:hAnsi="华文中宋" w:eastAsia="华文中宋" w:cs="仿宋"/>
          <w:b/>
          <w:kern w:val="44"/>
          <w:sz w:val="36"/>
          <w:szCs w:val="36"/>
        </w:rPr>
        <w:t>关于科学事业单位执行《政府会计制度——行政事业单位会计科目和报表》的补充规定</w:t>
      </w:r>
    </w:p>
    <w:p>
      <w:pPr>
        <w:spacing w:line="360" w:lineRule="auto"/>
        <w:rPr>
          <w:rFonts w:ascii="仿宋_GB2312" w:hAnsi="仿宋" w:eastAsia="仿宋_GB2312" w:cs="仿宋"/>
          <w:sz w:val="32"/>
          <w:szCs w:val="32"/>
        </w:rPr>
      </w:pPr>
    </w:p>
    <w:p>
      <w:pPr>
        <w:adjustRightInd w:val="0"/>
        <w:snapToGrid w:val="0"/>
        <w:spacing w:line="360" w:lineRule="auto"/>
        <w:ind w:firstLine="709"/>
        <w:rPr>
          <w:rFonts w:ascii="仿宋_GB2312" w:hAnsi="仿宋" w:eastAsia="仿宋_GB2312" w:cs="仿宋"/>
          <w:sz w:val="32"/>
          <w:szCs w:val="32"/>
        </w:rPr>
      </w:pPr>
      <w:r>
        <w:rPr>
          <w:rFonts w:hint="eastAsia" w:ascii="仿宋_GB2312" w:hAnsi="仿宋" w:eastAsia="仿宋_GB2312" w:cs="仿宋"/>
          <w:sz w:val="32"/>
          <w:szCs w:val="32"/>
        </w:rPr>
        <w:t>根据《政府会计准则——基本准则》，结合行业实际情况，现就科学事业单位</w:t>
      </w:r>
      <w:r>
        <w:rPr>
          <w:rStyle w:val="13"/>
          <w:rFonts w:ascii="仿宋_GB2312" w:hAnsi="仿宋" w:eastAsia="仿宋_GB2312" w:cs="仿宋"/>
          <w:sz w:val="32"/>
          <w:szCs w:val="32"/>
        </w:rPr>
        <w:footnoteReference w:id="0"/>
      </w:r>
      <w:r>
        <w:rPr>
          <w:rFonts w:hint="eastAsia" w:ascii="仿宋_GB2312" w:hAnsi="仿宋" w:eastAsia="仿宋_GB2312" w:cs="仿宋"/>
          <w:sz w:val="32"/>
          <w:szCs w:val="32"/>
        </w:rPr>
        <w:t>执行《政府会计制度——行政事业单位会计科目和报表》（以下简称新制度）做出如下补充规定：</w:t>
      </w:r>
    </w:p>
    <w:p>
      <w:pPr>
        <w:adjustRightInd w:val="0"/>
        <w:snapToGrid w:val="0"/>
        <w:spacing w:line="360" w:lineRule="auto"/>
        <w:ind w:firstLine="709"/>
        <w:rPr>
          <w:rFonts w:ascii="黑体" w:hAnsi="黑体" w:eastAsia="黑体" w:cs="仿宋"/>
          <w:sz w:val="32"/>
          <w:szCs w:val="32"/>
        </w:rPr>
      </w:pPr>
      <w:bookmarkStart w:id="0" w:name="_Toc513185424"/>
      <w:bookmarkStart w:id="1" w:name="_Toc16976"/>
      <w:bookmarkStart w:id="2" w:name="_Toc32089"/>
      <w:bookmarkStart w:id="3" w:name="_Toc8994"/>
      <w:bookmarkStart w:id="4" w:name="_Toc6816"/>
      <w:bookmarkStart w:id="5" w:name="_Toc3762"/>
      <w:bookmarkStart w:id="6" w:name="_Toc1741"/>
      <w:bookmarkStart w:id="7" w:name="_Toc5837"/>
      <w:bookmarkStart w:id="8" w:name="_Toc679"/>
      <w:bookmarkStart w:id="9" w:name="_Toc11323"/>
      <w:bookmarkStart w:id="10" w:name="_Toc16085"/>
      <w:bookmarkStart w:id="11" w:name="_Toc1523"/>
      <w:bookmarkStart w:id="12" w:name="_Toc29095"/>
      <w:bookmarkStart w:id="13" w:name="_Toc28310"/>
      <w:bookmarkStart w:id="14" w:name="_Toc2705"/>
      <w:bookmarkStart w:id="15" w:name="_Toc28267"/>
      <w:bookmarkStart w:id="16" w:name="_Toc25888"/>
      <w:bookmarkStart w:id="17" w:name="_Toc12990"/>
      <w:bookmarkStart w:id="18" w:name="_Toc1312"/>
      <w:bookmarkStart w:id="19" w:name="_Toc512445277"/>
      <w:bookmarkStart w:id="20" w:name="_Toc12267"/>
      <w:bookmarkStart w:id="21" w:name="_Toc32654"/>
      <w:bookmarkStart w:id="22" w:name="_Toc1069"/>
      <w:bookmarkStart w:id="23" w:name="_Toc28555"/>
      <w:bookmarkStart w:id="24" w:name="_Toc17493"/>
      <w:bookmarkStart w:id="25" w:name="_Toc970"/>
      <w:bookmarkStart w:id="26" w:name="_Toc27896"/>
      <w:bookmarkStart w:id="27" w:name="_Toc23176"/>
      <w:bookmarkStart w:id="28" w:name="_Toc16709"/>
      <w:bookmarkStart w:id="29" w:name="_Toc11474"/>
      <w:bookmarkStart w:id="30" w:name="_Toc26211"/>
      <w:bookmarkStart w:id="31" w:name="_Toc13847"/>
      <w:bookmarkStart w:id="32" w:name="_Toc17388"/>
      <w:r>
        <w:rPr>
          <w:rFonts w:hint="eastAsia" w:ascii="黑体" w:hAnsi="黑体" w:eastAsia="黑体" w:cs="仿宋"/>
          <w:sz w:val="32"/>
          <w:szCs w:val="32"/>
        </w:rPr>
        <w:t>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黑体" w:hAnsi="黑体" w:eastAsia="黑体" w:cs="仿宋"/>
          <w:sz w:val="32"/>
          <w:szCs w:val="32"/>
        </w:rPr>
        <w:t>关于在新制度一级科目下设置明细科目</w:t>
      </w:r>
    </w:p>
    <w:p>
      <w:pPr>
        <w:adjustRightInd w:val="0"/>
        <w:snapToGrid w:val="0"/>
        <w:spacing w:line="360" w:lineRule="auto"/>
        <w:ind w:firstLine="709"/>
        <w:rPr>
          <w:rFonts w:ascii="仿宋_GB2312" w:hAnsi="仿宋" w:eastAsia="仿宋_GB2312" w:cs="仿宋"/>
          <w:sz w:val="32"/>
          <w:szCs w:val="32"/>
        </w:rPr>
      </w:pPr>
      <w:r>
        <w:rPr>
          <w:rFonts w:hint="eastAsia" w:ascii="仿宋_GB2312" w:hAnsi="仿宋" w:eastAsia="仿宋_GB2312" w:cs="仿宋"/>
          <w:sz w:val="32"/>
          <w:szCs w:val="32"/>
        </w:rPr>
        <w:t>（一）科学事业单位应当在新制度规定的“4101 事业收入”科目下设置“410101 科研收入”、“410102 非科研收入”明细科目。</w:t>
      </w:r>
    </w:p>
    <w:p>
      <w:pPr>
        <w:adjustRightInd w:val="0"/>
        <w:snapToGrid w:val="0"/>
        <w:spacing w:line="360" w:lineRule="auto"/>
        <w:ind w:firstLine="709"/>
        <w:rPr>
          <w:rFonts w:ascii="仿宋_GB2312" w:hAnsi="仿宋" w:eastAsia="仿宋_GB2312" w:cs="仿宋"/>
          <w:sz w:val="32"/>
          <w:szCs w:val="32"/>
        </w:rPr>
      </w:pPr>
      <w:r>
        <w:rPr>
          <w:rFonts w:hint="eastAsia" w:ascii="仿宋_GB2312" w:hAnsi="仿宋" w:eastAsia="仿宋_GB2312" w:cs="仿宋"/>
          <w:sz w:val="32"/>
          <w:szCs w:val="32"/>
        </w:rPr>
        <w:t>1.“410101 科研收入”明细科目核算科学事业单位开展科研活动及其辅助活动实现的收入。</w:t>
      </w:r>
    </w:p>
    <w:p>
      <w:pPr>
        <w:adjustRightInd w:val="0"/>
        <w:snapToGrid w:val="0"/>
        <w:spacing w:line="360" w:lineRule="auto"/>
        <w:ind w:firstLine="709"/>
        <w:rPr>
          <w:rFonts w:ascii="仿宋_GB2312" w:hAnsi="仿宋" w:eastAsia="仿宋_GB2312" w:cs="仿宋"/>
          <w:sz w:val="32"/>
          <w:szCs w:val="32"/>
        </w:rPr>
      </w:pPr>
      <w:r>
        <w:rPr>
          <w:rFonts w:hint="eastAsia" w:ascii="仿宋_GB2312" w:hAnsi="仿宋" w:eastAsia="仿宋_GB2312" w:cs="仿宋"/>
          <w:sz w:val="32"/>
          <w:szCs w:val="32"/>
        </w:rPr>
        <w:t>2.“410102 非科研收入”明细科目核算科学事业单位开展科研活动以外的其他业务活动及其辅助活动实现的收入，包括技术活动收入、学术活动收入、科普活动收入、试制产品活动收入、教学活动收入等。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技术活动收入是指科学事业单位对外提供技术咨询、技术服务等活动实现的收入。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学术活动收入是指科学事业单位开展学术交流、学术期刊出版等活动实现的收入。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科普活动收入是指科学事业单位开展科学知识宣传、讲座和科技展览等活动实现的收入。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试制产品活动收入是指科学事业单位试制中间试验产品等活动实现的收入。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教学活动收入是指科学事业单位开展教学活动实现的收入。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（二）科学事业单位应当在新制度规定的“5001 业务活动费用”科目下设置“500101 科研活动费用”、“500102 非科研活动费用”明细科目。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1.“500101 科研活动费用”明细科目核算科学事业单位开展科研活动及其辅助活动发生的各项费用。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2.“500102 非科研活动费用”明细科目核算科学事业单位开展科研活动以外的其他业务活动及其辅助活动发生的各项费用，包括技术活动费用、学术活动费用、科普活动费用、试制产品活动费用和教学活动费用等。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技术活动费用是指科学事业单位对外提供技术咨询、技术服务等活动发生的各项费用。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学术活动费用是指科学事业单位开展学术交流、学术期刊出版等活动发生的各项费用。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科普活动费用是指科学事业单位开展科学知识宣传、讲座和科技展览等活动发生的各项费用。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试制产品活动费用是指科学事业单位试制中间试验产品等活动发生的各项费用。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教学活动费用是指科学事业单位开展教学活动发生的各项费用。</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（三）科学事业单位应当在新制度规定的“6101 事业预算收入”科目下设置“610101 科研预算收入”、“610102 非科研预算收入”明细科目。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1.“610101 科研预算收入”明细科目核算科学事业单位开展科研活动及其辅助活动取得的现金流入。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2.“610102 非科研预算收入”明细科目核算科学事业单位开展科研活动以外的其他业务活动及其辅助活动取得的现金流入，包括技术活动预算收入、学术活动预算收入、科普活动预算收入、试制产品活动预算收入、教学活动预算收入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技术活动预算收入是指科学事业单位对外提供技术咨询、技术服务等活动取得的现金流入。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学术活动预算收入是指科学事业单位开展学术交流、学术期刊出版等活动取得的现金流入。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科普活动预算收入是指科学事业单位开展科学知识宣传、讲座和科技展览等活动取得的现金流入。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试制产品活动预算收入是指科学事业单位试制中间试验产品等活动取得的现金流入。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教学活动预算收入是指科学事业单位开展教学活动取得的现金流入。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（四）科学事业单位应当在新制度规定的“7201 事业支出”科目下设置“720101 科研支出”、“720102 非科研支出”、“720103 管理支出”明细科目。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1.“720101 科研支出”明细科目核算科学事业单位开展科研活动及其辅助活动发生的各项现金流出。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2.“720102 非科研支出”明细科目核算科学事业单位开展科研活动以外的其他业务活动及其辅助活动发生的各项现金流出，包括技术活动支出、学术活动支出、科普活动支出、试制产品活动支出和教学活动支出等。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技术活动支出是指科学事业单位对外提供技术咨询、技术服务等活动发生的各项现金流出。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学术活动支出是指科学事业单位开展学术交流、学术期刊出版等活动发生的各项现金流出。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科普活动支出是指科学事业单位开展科学知识宣传、讲座和科技展览等活动发生的各项现金流出。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试制产品活动支出是指科学事业单位试制中间试验产品等活动发生的各项现金流出。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教学活动支出是指科学事业单位开展教学活动发生的各项现金流出。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3.“720103 管理支出”明细科目核算科学事业单位行政及后勤管理部门开展管理活动发生的各项现金流出，包括单位行政及后勤管理部门发生的人员经费、公用经费，以及由单位统一负担的离退休人员经费、工会经费、诉讼费、中介费等现金流出。</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二、关于报表及编制说明</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（一）关于收入费用表</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1.新增项目</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科学事业单位应当在收入费用表的“（二）事业收入”项目下增加“其中：科研收入”、“非科研收入”项目，在“（一）业务活动费用”项目下增加“其中：科研活动费用”、“非科研活动费用”项目，详见附表1。</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2.新增项目的内容和填列方法</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（1）“其中：科研收入”项目，反映科学事业单位本期开展科研活动及其辅助活动实现的收入。本项目应当根据“事业收入——科研收入”科目的本期发生额填列。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（2）“非科研收入”项目，反映科学事业单位本期开展科研活动以外的其他业务活动及其辅助活动实现的收入。本项目应当根据“事业收入——非科研收入”科目的本期发生额填列。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（3）“其中：科研活动费用”项目，反映科学事业单位本期开展科研活动及其辅助活动发生的各项费用。本项目应当根据“业务活动费用——科研活动费用”科目的本期发生额填列。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（4）“非科研活动费用”项目，反映科学事业单位本期开展科研活动以外的其他业务活动及其辅助活动发生的各项费用。本项目应当根据“业务活动费用——非科研活动费用”科目的本期发生额填列。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（二）关于预算收入支出表</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1.新增项目</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科学事业单位应当在预算收入支出表的“（二）事业预算收入”项目下增加“其中：科研预算收入”、“非科研预算收入”项目，在“（二）事业支出”项目下增加“其中：科研支出”、“非科研支出”、“管理支出”项目，详见附表2。</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2.新增项目的内容和填列方法</w:t>
      </w:r>
    </w:p>
    <w:p>
      <w:pPr>
        <w:adjustRightInd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（1）“其中：科研预算收入”项目，反映科学事业单位本期开展科研活动及其辅助活动取得的现金流入。本项目应当根据“事业预算收入——科研预算收入”科目的本期发生额填列。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（2）“非科研预算收入”项目，反映科学事业单位本期开展科研活动以外的其他业务活动及其辅助活动取得的现金流入。本项目应当根据“事业预算收入——非科研预算收入”科目的本期发生额填列。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（3）“其中：科研支出”项目，反映科学事业单位本期开展科研活动及其辅助活动发生的各项现金流出。本项目应当根据“事业支出——科研支出”科目的本期发生额填列。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（4）“非科研支出”项目，反映科学事业单位本期开展科研活动以外的其他业务活动及其辅助活动发生的各项现金流出。本项目应当根据“事业支出——非科研支出”科目的本期发生额填列。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5）“管理支出”项目，反映科学事业单位本期行政及后勤管理部门开展管理活动发生的各项现金流出，以及由单位统一负担的其他现金流出。本项目应当根据“事业支出——管理支出”科目的本期发生额填列。</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（三）关于附注</w:t>
      </w:r>
    </w:p>
    <w:p>
      <w:pPr>
        <w:adjustRightInd w:val="0"/>
        <w:snapToGrid w:val="0"/>
        <w:spacing w:line="360" w:lineRule="auto"/>
        <w:ind w:firstLine="600"/>
        <w:rPr>
          <w:rFonts w:ascii="仿宋_GB2312" w:hAnsi="仿宋" w:eastAsia="仿宋_GB2312" w:cs="仿宋"/>
          <w:sz w:val="32"/>
          <w:szCs w:val="32"/>
        </w:rPr>
      </w:pPr>
      <w:bookmarkStart w:id="33" w:name="OLE_LINK1"/>
      <w:r>
        <w:rPr>
          <w:rFonts w:hint="eastAsia" w:ascii="仿宋_GB2312" w:hAnsi="仿宋" w:eastAsia="仿宋_GB2312" w:cs="仿宋"/>
          <w:sz w:val="32"/>
          <w:szCs w:val="32"/>
        </w:rPr>
        <w:t>科学事业单位应当在财务报表附注中披露以下信息：</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1.收入费用表有关项目的说明</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（1）关于“非科研收入”项目，披露“技术活动收入”、“学术活动收入”、“科普活动收入”、“试制产品活动收入”和“教学活动收入”等构成项目的金额。</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（2）关于“非科研活动费用”项目，披露“技术活动费用”、“学术活动费用”、“科普活动费用”、“试制产品活动费用”和“教学活动费用”等构成项目的金额。</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2.预算收入支出表有关项目的说明</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（1）关于“非科研预算收入”项目，披露“技术活动预算收入”、“学术活动预算收入”、“科普活动预算收入”、“试制产品活动预算收入”和“教学活动预算收入”等构成项目的金额。</w:t>
      </w:r>
    </w:p>
    <w:p>
      <w:pPr>
        <w:adjustRightInd w:val="0"/>
        <w:snapToGrid w:val="0"/>
        <w:spacing w:line="360" w:lineRule="auto"/>
        <w:ind w:firstLine="600"/>
        <w:rPr>
          <w:rFonts w:ascii="仿宋_GB2312" w:hAnsi="仿宋" w:eastAsia="仿宋_GB2312" w:cs="仿宋"/>
          <w:sz w:val="32"/>
          <w:szCs w:val="32"/>
        </w:rPr>
      </w:pPr>
      <w:r>
        <w:rPr>
          <w:rFonts w:hint="eastAsia" w:ascii="仿宋_GB2312" w:hAnsi="仿宋" w:eastAsia="仿宋_GB2312" w:cs="仿宋"/>
          <w:sz w:val="32"/>
          <w:szCs w:val="32"/>
        </w:rPr>
        <w:t>（2）关于“非科研支出”项目，披露“技术活动支出”、“学术活动支出”、“科普活动支出”、“试制产品活动支出”和“教学活动支出”等构成项目的金额。</w:t>
      </w:r>
    </w:p>
    <w:bookmarkEnd w:id="33"/>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三、关于合作项目款的账务处理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本规定所称合作项目款是指科学事业单位从非同级政府财政部门取得的，需要与其他单位合作完成的科技项目（课题）款项。科学事业单位对合作项目款核算的账务处理如下：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从付款方预收款项时，在财务会计下，按照收到的款项金额，借记“银行存款”等科目，贷记“预收账款”科目；同时，在预算会计下，按照相同的金额，借记“资金结存——货币资金”科目，贷记“事业预算收入”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按照合同规定将合作项目款转拨合作单位时，在财务会计下，按照实际转拨的金额，借记“预收账款”科目，贷记“银行存款”等科目；同时，在预算会计下，按照相同的金额，借记“事业预算收入”科目[转拨当年收到的合作项目款]或“非财政拨款结转”科目[转拨以前年度收到的合作项目款]，贷记“资金结存——货币资金”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（三）按照合同完成进度确认本单位科研收入时，按照计算确认收入的金额，借记“预收账款”科目，贷记“事业收入”科目。</w:t>
      </w:r>
    </w:p>
    <w:p>
      <w:pPr>
        <w:tabs>
          <w:tab w:val="left" w:pos="7088"/>
        </w:tabs>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发生因科技项目（课题）终止等情形，需按照规定将项目剩余资金退回项目（课题）立项部门时，对本单位承担项目使用的剩余资金，在财务会计下，按照实际退回的金额，借记“预收账款”科目[尚未确认收入]或“事业收入”科目[已经确认收入]，贷记“银行存款”等科目；同时，在预算会计下，按照相同的金额，借记“事业预算收入”科目[本年度取得的合作项目款]或“非财政拨款结转”科目[以前年度取得的合作项目款]，贷记“资金结存——货币资金”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对合作单位承担项目使用的剩余资金，于收回时按照收回的金额，借记“银行存款”等科目，贷记“其他应付款”科目；转退回给项目（课题）立项部门时，借记“其他应付款”科目，贷记“银行存款”等科目。</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四、关于计提和使用项目间接费用或管理费的账务处理</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（一）科学事业单位按规定从科研项目收入中计提项目间接费用或管理费时，除按新制度规定借记“单位管理费用”科目外，也可根据实际情况借记“业务活动费用”等科目。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科学事业单位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五、关于按合同完成进度确认事业收入</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学事业单位以合同完成进度确认事业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p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六、生效日期</w:t>
      </w:r>
    </w:p>
    <w:p>
      <w:pPr>
        <w:spacing w:line="360" w:lineRule="auto"/>
        <w:ind w:firstLine="640" w:firstLineChars="200"/>
        <w:rPr>
          <w:rFonts w:ascii="仿宋" w:hAnsi="仿宋" w:eastAsia="仿宋" w:cs="仿宋"/>
          <w:kern w:val="0"/>
          <w:sz w:val="32"/>
          <w:szCs w:val="32"/>
        </w:rPr>
      </w:pPr>
      <w:r>
        <w:rPr>
          <w:rFonts w:hint="eastAsia" w:ascii="仿宋_GB2312" w:hAnsi="仿宋" w:eastAsia="仿宋_GB2312" w:cs="仿宋"/>
          <w:sz w:val="32"/>
          <w:szCs w:val="32"/>
        </w:rPr>
        <w:t>本规定自2019年1月1日起施行。</w:t>
      </w:r>
      <w:r>
        <w:rPr>
          <w:rFonts w:ascii="仿宋" w:hAnsi="仿宋" w:eastAsia="仿宋" w:cs="仿宋"/>
          <w:kern w:val="0"/>
          <w:sz w:val="32"/>
          <w:szCs w:val="32"/>
        </w:rPr>
        <w:br w:type="page"/>
      </w:r>
    </w:p>
    <w:p>
      <w:pPr>
        <w:spacing w:line="360" w:lineRule="auto"/>
        <w:rPr>
          <w:rFonts w:ascii="仿宋" w:hAnsi="仿宋" w:eastAsia="仿宋" w:cs="仿宋"/>
          <w:kern w:val="0"/>
          <w:sz w:val="28"/>
          <w:szCs w:val="28"/>
        </w:rPr>
      </w:pPr>
      <w:r>
        <w:rPr>
          <w:rFonts w:hint="eastAsia" w:ascii="仿宋" w:hAnsi="仿宋" w:eastAsia="仿宋" w:cs="仿宋"/>
          <w:kern w:val="0"/>
          <w:sz w:val="28"/>
          <w:szCs w:val="28"/>
        </w:rPr>
        <w:t>附表</w:t>
      </w:r>
      <w:r>
        <w:rPr>
          <w:rFonts w:ascii="仿宋" w:hAnsi="仿宋" w:eastAsia="仿宋" w:cs="仿宋"/>
          <w:kern w:val="0"/>
          <w:sz w:val="28"/>
          <w:szCs w:val="28"/>
        </w:rPr>
        <w:t>1</w:t>
      </w:r>
    </w:p>
    <w:p>
      <w:pPr>
        <w:autoSpaceDE w:val="0"/>
        <w:autoSpaceDN w:val="0"/>
        <w:jc w:val="center"/>
        <w:rPr>
          <w:rFonts w:asciiTheme="minorEastAsia" w:hAnsiTheme="minorEastAsia" w:eastAsiaTheme="minorEastAsia"/>
          <w:b/>
          <w:sz w:val="28"/>
          <w:szCs w:val="28"/>
        </w:rPr>
      </w:pPr>
      <w:r>
        <w:rPr>
          <w:rFonts w:asciiTheme="minorEastAsia" w:hAnsiTheme="minorEastAsia" w:eastAsiaTheme="minorEastAsia"/>
          <w:b/>
          <w:sz w:val="28"/>
          <w:szCs w:val="28"/>
        </w:rPr>
        <w:t>收入费用表</w:t>
      </w:r>
    </w:p>
    <w:p>
      <w:pPr>
        <w:jc w:val="right"/>
        <w:rPr>
          <w:rFonts w:asciiTheme="minorEastAsia" w:hAnsiTheme="minorEastAsia" w:eastAsiaTheme="minorEastAsia"/>
          <w:szCs w:val="21"/>
        </w:rPr>
      </w:pPr>
      <w:r>
        <w:rPr>
          <w:rFonts w:asciiTheme="minorEastAsia" w:hAnsiTheme="minorEastAsia" w:eastAsiaTheme="minorEastAsia"/>
          <w:szCs w:val="21"/>
        </w:rPr>
        <w:t>会政财02表</w:t>
      </w:r>
    </w:p>
    <w:p>
      <w:pPr>
        <w:ind w:left="-149" w:leftChars="-71"/>
        <w:rPr>
          <w:rFonts w:asciiTheme="minorEastAsia" w:hAnsiTheme="minorEastAsia" w:eastAsiaTheme="minorEastAsia"/>
          <w:szCs w:val="21"/>
        </w:rPr>
      </w:pPr>
      <w:r>
        <w:rPr>
          <w:rFonts w:asciiTheme="minorEastAsia" w:hAnsiTheme="minorEastAsia" w:eastAsiaTheme="minorEastAsia"/>
          <w:szCs w:val="21"/>
        </w:rPr>
        <w:t>编制单位：</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                          单位：元</w:t>
      </w:r>
    </w:p>
    <w:tbl>
      <w:tblPr>
        <w:tblStyle w:val="14"/>
        <w:tblW w:w="872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2"/>
        <w:gridCol w:w="1884"/>
        <w:gridCol w:w="18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952" w:type="dxa"/>
            <w:tcBorders>
              <w:top w:val="single" w:color="auto" w:sz="12" w:space="0"/>
              <w:bottom w:val="single" w:color="auto" w:sz="12" w:space="0"/>
            </w:tcBorders>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项  目</w:t>
            </w:r>
          </w:p>
        </w:tc>
        <w:tc>
          <w:tcPr>
            <w:tcW w:w="1884" w:type="dxa"/>
            <w:tcBorders>
              <w:top w:val="single" w:color="auto" w:sz="12" w:space="0"/>
              <w:bottom w:val="single" w:color="auto" w:sz="12" w:space="0"/>
            </w:tcBorders>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本月数</w:t>
            </w:r>
          </w:p>
        </w:tc>
        <w:tc>
          <w:tcPr>
            <w:tcW w:w="1884" w:type="dxa"/>
            <w:tcBorders>
              <w:top w:val="single" w:color="auto" w:sz="12" w:space="0"/>
              <w:bottom w:val="single" w:color="auto" w:sz="12" w:space="0"/>
            </w:tcBorders>
            <w:shd w:val="clear" w:color="auto" w:fill="auto"/>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本年累计数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Borders>
              <w:top w:val="single" w:color="auto" w:sz="12" w:space="0"/>
            </w:tcBorders>
            <w:vAlign w:val="bottom"/>
          </w:tcPr>
          <w:p>
            <w:pPr>
              <w:rPr>
                <w:rFonts w:asciiTheme="minorEastAsia" w:hAnsiTheme="minorEastAsia" w:eastAsiaTheme="minorEastAsia"/>
                <w:b/>
                <w:szCs w:val="21"/>
              </w:rPr>
            </w:pPr>
            <w:r>
              <w:rPr>
                <w:rFonts w:asciiTheme="minorEastAsia" w:hAnsiTheme="minorEastAsia" w:eastAsiaTheme="minorEastAsia"/>
                <w:b/>
                <w:szCs w:val="21"/>
              </w:rPr>
              <w:t>一、本期收入</w:t>
            </w:r>
          </w:p>
        </w:tc>
        <w:tc>
          <w:tcPr>
            <w:tcW w:w="1884" w:type="dxa"/>
            <w:tcBorders>
              <w:top w:val="single" w:color="auto" w:sz="12" w:space="0"/>
            </w:tcBorders>
          </w:tcPr>
          <w:p>
            <w:pPr>
              <w:jc w:val="center"/>
              <w:rPr>
                <w:rFonts w:asciiTheme="minorEastAsia" w:hAnsiTheme="minorEastAsia" w:eastAsiaTheme="minorEastAsia"/>
                <w:b/>
                <w:szCs w:val="21"/>
              </w:rPr>
            </w:pPr>
          </w:p>
        </w:tc>
        <w:tc>
          <w:tcPr>
            <w:tcW w:w="1884" w:type="dxa"/>
            <w:tcBorders>
              <w:top w:val="single" w:color="auto" w:sz="12" w:space="0"/>
            </w:tcBorders>
            <w:shd w:val="clear" w:color="auto" w:fill="auto"/>
          </w:tcPr>
          <w:p>
            <w:pPr>
              <w:jc w:val="center"/>
              <w:rPr>
                <w:rFonts w:asciiTheme="minorEastAsia" w:hAnsiTheme="minorEastAsia" w:eastAsiaTheme="minorEastAsia"/>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（一）财政拨款收入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1050" w:firstLineChars="500"/>
              <w:rPr>
                <w:rFonts w:asciiTheme="minorEastAsia" w:hAnsiTheme="minorEastAsia" w:eastAsiaTheme="minorEastAsia"/>
                <w:szCs w:val="21"/>
              </w:rPr>
            </w:pPr>
            <w:r>
              <w:rPr>
                <w:rFonts w:asciiTheme="minorEastAsia" w:hAnsiTheme="minorEastAsia" w:eastAsiaTheme="minorEastAsia"/>
                <w:szCs w:val="21"/>
              </w:rPr>
              <w:t>其中：政府性基金收入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（二）事业收入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其中：科研收入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非科研收入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（三）上级补助收入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（四）附属单位上缴收入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（五）经营收入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（六）非同级财政拨款收入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color w:val="000000"/>
                <w:kern w:val="0"/>
                <w:sz w:val="24"/>
                <w:szCs w:val="21"/>
              </w:rPr>
            </w:pPr>
            <w:r>
              <w:rPr>
                <w:rFonts w:asciiTheme="minorEastAsia" w:hAnsiTheme="minorEastAsia" w:eastAsiaTheme="minorEastAsia"/>
                <w:szCs w:val="21"/>
              </w:rPr>
              <w:t>（七）投资收益</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color w:val="000000"/>
                <w:kern w:val="0"/>
                <w:sz w:val="24"/>
                <w:szCs w:val="21"/>
              </w:rPr>
            </w:pPr>
            <w:r>
              <w:rPr>
                <w:rFonts w:asciiTheme="minorEastAsia" w:hAnsiTheme="minorEastAsia" w:eastAsiaTheme="minorEastAsia"/>
                <w:szCs w:val="21"/>
              </w:rPr>
              <w:t>（八）捐赠收入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color w:val="000000"/>
                <w:kern w:val="0"/>
                <w:sz w:val="24"/>
                <w:szCs w:val="21"/>
              </w:rPr>
            </w:pPr>
            <w:r>
              <w:rPr>
                <w:rFonts w:asciiTheme="minorEastAsia" w:hAnsiTheme="minorEastAsia" w:eastAsiaTheme="minorEastAsia"/>
                <w:szCs w:val="21"/>
              </w:rPr>
              <w:t>（九）利息收入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color w:val="000000"/>
                <w:kern w:val="0"/>
                <w:sz w:val="24"/>
                <w:szCs w:val="21"/>
              </w:rPr>
            </w:pPr>
            <w:r>
              <w:rPr>
                <w:rFonts w:asciiTheme="minorEastAsia" w:hAnsiTheme="minorEastAsia" w:eastAsiaTheme="minorEastAsia"/>
                <w:szCs w:val="21"/>
              </w:rPr>
              <w:t>（十）租金收入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color w:val="000000"/>
                <w:kern w:val="0"/>
                <w:sz w:val="24"/>
                <w:szCs w:val="21"/>
              </w:rPr>
            </w:pPr>
            <w:r>
              <w:rPr>
                <w:rFonts w:asciiTheme="minorEastAsia" w:hAnsiTheme="minorEastAsia" w:eastAsiaTheme="minorEastAsia"/>
                <w:szCs w:val="21"/>
              </w:rPr>
              <w:t>（十一）其他收入</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rPr>
                <w:rFonts w:asciiTheme="minorEastAsia" w:hAnsiTheme="minorEastAsia" w:eastAsiaTheme="minorEastAsia"/>
                <w:b/>
                <w:szCs w:val="21"/>
              </w:rPr>
            </w:pPr>
            <w:r>
              <w:rPr>
                <w:rFonts w:asciiTheme="minorEastAsia" w:hAnsiTheme="minorEastAsia" w:eastAsiaTheme="minorEastAsia"/>
                <w:b/>
                <w:szCs w:val="21"/>
              </w:rPr>
              <w:t>二、本期费用</w:t>
            </w:r>
          </w:p>
        </w:tc>
        <w:tc>
          <w:tcPr>
            <w:tcW w:w="1884" w:type="dxa"/>
          </w:tcPr>
          <w:p>
            <w:pPr>
              <w:jc w:val="center"/>
              <w:rPr>
                <w:rFonts w:asciiTheme="minorEastAsia" w:hAnsiTheme="minorEastAsia" w:eastAsiaTheme="minorEastAsia"/>
                <w:b/>
                <w:szCs w:val="21"/>
              </w:rPr>
            </w:pPr>
          </w:p>
        </w:tc>
        <w:tc>
          <w:tcPr>
            <w:tcW w:w="1884" w:type="dxa"/>
            <w:shd w:val="clear" w:color="auto" w:fill="auto"/>
          </w:tcPr>
          <w:p>
            <w:pPr>
              <w:jc w:val="center"/>
              <w:rPr>
                <w:rFonts w:asciiTheme="minorEastAsia" w:hAnsiTheme="minorEastAsia" w:eastAsiaTheme="minorEastAsia"/>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（一）业务活动费用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其中：科研活动费用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非科研活动费用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（二）单位管理费用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（三）经营费用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四</w:t>
            </w:r>
            <w:r>
              <w:rPr>
                <w:rFonts w:asciiTheme="minorEastAsia" w:hAnsiTheme="minorEastAsia" w:eastAsiaTheme="minorEastAsia"/>
                <w:szCs w:val="21"/>
              </w:rPr>
              <w:t>）资产处置费用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w:t>
            </w:r>
            <w:r>
              <w:rPr>
                <w:rFonts w:asciiTheme="minorEastAsia" w:hAnsiTheme="minorEastAsia" w:eastAsiaTheme="minorEastAsia"/>
                <w:szCs w:val="21"/>
              </w:rPr>
              <w:t>上缴上级费用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w:t>
            </w:r>
            <w:r>
              <w:rPr>
                <w:rFonts w:asciiTheme="minorEastAsia" w:hAnsiTheme="minorEastAsia" w:eastAsiaTheme="minorEastAsia"/>
                <w:szCs w:val="21"/>
              </w:rPr>
              <w:t>对附属单位补助费用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七</w:t>
            </w:r>
            <w:r>
              <w:rPr>
                <w:rFonts w:asciiTheme="minorEastAsia" w:hAnsiTheme="minorEastAsia" w:eastAsiaTheme="minorEastAsia"/>
                <w:szCs w:val="21"/>
              </w:rPr>
              <w:t>）所得税费用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Pr>
          <w:p>
            <w:pPr>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八</w:t>
            </w:r>
            <w:r>
              <w:rPr>
                <w:rFonts w:asciiTheme="minorEastAsia" w:hAnsiTheme="minorEastAsia" w:eastAsiaTheme="minorEastAsia"/>
                <w:szCs w:val="21"/>
              </w:rPr>
              <w:t>）其他费用</w:t>
            </w:r>
          </w:p>
        </w:tc>
        <w:tc>
          <w:tcPr>
            <w:tcW w:w="1884" w:type="dxa"/>
          </w:tcPr>
          <w:p>
            <w:pPr>
              <w:jc w:val="center"/>
              <w:rPr>
                <w:rFonts w:asciiTheme="minorEastAsia" w:hAnsiTheme="minorEastAsia" w:eastAsiaTheme="minorEastAsia"/>
                <w:szCs w:val="21"/>
              </w:rPr>
            </w:pPr>
          </w:p>
        </w:tc>
        <w:tc>
          <w:tcPr>
            <w:tcW w:w="1884" w:type="dxa"/>
            <w:shd w:val="clear" w:color="auto" w:fill="auto"/>
          </w:tcPr>
          <w:p>
            <w:pPr>
              <w:jc w:val="center"/>
              <w:rPr>
                <w:rFonts w:asciiTheme="minorEastAsia" w:hAnsiTheme="minorEastAsia" w:eastAsiaTheme="minorEastAsia"/>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52" w:type="dxa"/>
            <w:tcBorders>
              <w:bottom w:val="single" w:color="auto" w:sz="12" w:space="0"/>
            </w:tcBorders>
          </w:tcPr>
          <w:p>
            <w:pPr>
              <w:rPr>
                <w:rFonts w:asciiTheme="minorEastAsia" w:hAnsiTheme="minorEastAsia" w:eastAsiaTheme="minorEastAsia"/>
                <w:b/>
                <w:szCs w:val="21"/>
              </w:rPr>
            </w:pPr>
            <w:r>
              <w:rPr>
                <w:rFonts w:asciiTheme="minorEastAsia" w:hAnsiTheme="minorEastAsia" w:eastAsiaTheme="minorEastAsia"/>
                <w:b/>
                <w:szCs w:val="21"/>
              </w:rPr>
              <w:t>三、本期盈余</w:t>
            </w:r>
          </w:p>
        </w:tc>
        <w:tc>
          <w:tcPr>
            <w:tcW w:w="1884" w:type="dxa"/>
            <w:tcBorders>
              <w:bottom w:val="single" w:color="auto" w:sz="12" w:space="0"/>
            </w:tcBorders>
          </w:tcPr>
          <w:p>
            <w:pPr>
              <w:jc w:val="center"/>
              <w:rPr>
                <w:rFonts w:asciiTheme="minorEastAsia" w:hAnsiTheme="minorEastAsia" w:eastAsiaTheme="minorEastAsia"/>
                <w:szCs w:val="21"/>
              </w:rPr>
            </w:pPr>
          </w:p>
        </w:tc>
        <w:tc>
          <w:tcPr>
            <w:tcW w:w="1884" w:type="dxa"/>
            <w:tcBorders>
              <w:bottom w:val="single" w:color="auto" w:sz="12" w:space="0"/>
            </w:tcBorders>
            <w:shd w:val="clear" w:color="auto" w:fill="auto"/>
          </w:tcPr>
          <w:p>
            <w:pPr>
              <w:jc w:val="center"/>
              <w:rPr>
                <w:rFonts w:asciiTheme="minorEastAsia" w:hAnsiTheme="minorEastAsia" w:eastAsiaTheme="minorEastAsia"/>
                <w:szCs w:val="21"/>
              </w:rPr>
            </w:pPr>
          </w:p>
        </w:tc>
      </w:tr>
    </w:tbl>
    <w:p>
      <w:pPr>
        <w:spacing w:line="360" w:lineRule="auto"/>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spacing w:line="360" w:lineRule="auto"/>
        <w:rPr>
          <w:rFonts w:ascii="仿宋" w:hAnsi="仿宋" w:eastAsia="仿宋" w:cs="仿宋"/>
          <w:kern w:val="0"/>
          <w:sz w:val="32"/>
          <w:szCs w:val="32"/>
        </w:rPr>
      </w:pPr>
      <w:r>
        <w:rPr>
          <w:rFonts w:hint="eastAsia" w:ascii="仿宋" w:hAnsi="仿宋" w:eastAsia="仿宋" w:cs="仿宋"/>
          <w:kern w:val="0"/>
          <w:sz w:val="28"/>
          <w:szCs w:val="28"/>
        </w:rPr>
        <w:t>附表</w:t>
      </w:r>
      <w:r>
        <w:rPr>
          <w:rFonts w:ascii="仿宋" w:hAnsi="仿宋" w:eastAsia="仿宋" w:cs="仿宋"/>
          <w:kern w:val="0"/>
          <w:sz w:val="28"/>
          <w:szCs w:val="28"/>
        </w:rPr>
        <w:t>2</w:t>
      </w:r>
      <w:r>
        <w:rPr>
          <w:rFonts w:hint="eastAsia" w:ascii="仿宋" w:hAnsi="仿宋" w:eastAsia="仿宋" w:cs="仿宋"/>
          <w:kern w:val="0"/>
          <w:sz w:val="32"/>
          <w:szCs w:val="32"/>
        </w:rPr>
        <w:t xml:space="preserve">                </w:t>
      </w:r>
    </w:p>
    <w:p>
      <w:pPr>
        <w:ind w:firstLine="3092" w:firstLineChars="1100"/>
        <w:rPr>
          <w:rFonts w:asciiTheme="minorEastAsia" w:hAnsiTheme="minorEastAsia" w:eastAsiaTheme="minorEastAsia"/>
          <w:b/>
          <w:sz w:val="28"/>
          <w:szCs w:val="28"/>
        </w:rPr>
      </w:pPr>
      <w:r>
        <w:rPr>
          <w:rFonts w:asciiTheme="minorEastAsia" w:hAnsiTheme="minorEastAsia" w:eastAsiaTheme="minorEastAsia"/>
          <w:b/>
          <w:sz w:val="28"/>
          <w:szCs w:val="28"/>
        </w:rPr>
        <w:t>预算收入支出表</w:t>
      </w:r>
    </w:p>
    <w:p>
      <w:pPr>
        <w:jc w:val="right"/>
        <w:rPr>
          <w:rFonts w:asciiTheme="minorEastAsia" w:hAnsiTheme="minorEastAsia" w:eastAsiaTheme="minorEastAsia"/>
          <w:szCs w:val="21"/>
        </w:rPr>
      </w:pPr>
      <w:r>
        <w:rPr>
          <w:rFonts w:asciiTheme="minorEastAsia" w:hAnsiTheme="minorEastAsia" w:eastAsiaTheme="minorEastAsia"/>
          <w:szCs w:val="21"/>
        </w:rPr>
        <w:t>会政预01表</w:t>
      </w:r>
    </w:p>
    <w:p>
      <w:pPr>
        <w:jc w:val="left"/>
        <w:rPr>
          <w:rFonts w:asciiTheme="minorEastAsia" w:hAnsiTheme="minorEastAsia" w:eastAsiaTheme="minorEastAsia"/>
          <w:szCs w:val="21"/>
        </w:rPr>
      </w:pPr>
      <w:r>
        <w:rPr>
          <w:rFonts w:asciiTheme="minorEastAsia" w:hAnsiTheme="minorEastAsia" w:eastAsiaTheme="minorEastAsia"/>
          <w:szCs w:val="21"/>
        </w:rPr>
        <w:t>编制单位：</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年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单位：元</w:t>
      </w:r>
    </w:p>
    <w:tbl>
      <w:tblPr>
        <w:tblStyle w:val="14"/>
        <w:tblW w:w="872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07"/>
        <w:gridCol w:w="1575"/>
        <w:gridCol w:w="16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tcBorders>
              <w:top w:val="single" w:color="auto" w:sz="12" w:space="0"/>
              <w:bottom w:val="single" w:color="auto" w:sz="12" w:space="0"/>
            </w:tcBorders>
            <w:shd w:val="clear" w:color="auto" w:fill="auto"/>
            <w:vAlign w:val="bottom"/>
          </w:tcPr>
          <w:p>
            <w:pPr>
              <w:widowControl/>
              <w:jc w:val="center"/>
              <w:rPr>
                <w:rFonts w:asciiTheme="minorEastAsia" w:hAnsiTheme="minorEastAsia" w:eastAsiaTheme="minorEastAsia"/>
                <w:b/>
                <w:kern w:val="0"/>
                <w:sz w:val="22"/>
                <w:szCs w:val="21"/>
              </w:rPr>
            </w:pPr>
            <w:r>
              <w:rPr>
                <w:rFonts w:asciiTheme="minorEastAsia" w:hAnsiTheme="minorEastAsia" w:eastAsiaTheme="minorEastAsia"/>
                <w:b/>
                <w:kern w:val="0"/>
                <w:sz w:val="22"/>
                <w:szCs w:val="21"/>
              </w:rPr>
              <w:t>项  目</w:t>
            </w:r>
          </w:p>
        </w:tc>
        <w:tc>
          <w:tcPr>
            <w:tcW w:w="1575" w:type="dxa"/>
            <w:tcBorders>
              <w:top w:val="single" w:color="auto" w:sz="12" w:space="0"/>
              <w:bottom w:val="single" w:color="auto" w:sz="12" w:space="0"/>
            </w:tcBorders>
            <w:shd w:val="clear" w:color="auto" w:fill="auto"/>
            <w:vAlign w:val="bottom"/>
          </w:tcPr>
          <w:p>
            <w:pPr>
              <w:widowControl/>
              <w:jc w:val="center"/>
              <w:rPr>
                <w:rFonts w:asciiTheme="minorEastAsia" w:hAnsiTheme="minorEastAsia" w:eastAsiaTheme="minorEastAsia"/>
                <w:b/>
                <w:kern w:val="0"/>
                <w:sz w:val="22"/>
                <w:szCs w:val="21"/>
              </w:rPr>
            </w:pPr>
            <w:r>
              <w:rPr>
                <w:rFonts w:asciiTheme="minorEastAsia" w:hAnsiTheme="minorEastAsia" w:eastAsiaTheme="minorEastAsia"/>
                <w:b/>
                <w:kern w:val="0"/>
                <w:sz w:val="22"/>
                <w:szCs w:val="21"/>
              </w:rPr>
              <w:t>本年数</w:t>
            </w:r>
          </w:p>
        </w:tc>
        <w:tc>
          <w:tcPr>
            <w:tcW w:w="1638" w:type="dxa"/>
            <w:tcBorders>
              <w:top w:val="single" w:color="auto" w:sz="12" w:space="0"/>
              <w:bottom w:val="single" w:color="auto" w:sz="12" w:space="0"/>
            </w:tcBorders>
            <w:shd w:val="clear" w:color="auto" w:fill="auto"/>
            <w:vAlign w:val="bottom"/>
          </w:tcPr>
          <w:p>
            <w:pPr>
              <w:widowControl/>
              <w:jc w:val="center"/>
              <w:rPr>
                <w:rFonts w:asciiTheme="minorEastAsia" w:hAnsiTheme="minorEastAsia" w:eastAsiaTheme="minorEastAsia"/>
                <w:b/>
                <w:kern w:val="0"/>
                <w:sz w:val="22"/>
                <w:szCs w:val="21"/>
              </w:rPr>
            </w:pPr>
            <w:r>
              <w:rPr>
                <w:rFonts w:asciiTheme="minorEastAsia" w:hAnsiTheme="minorEastAsia" w:eastAsiaTheme="minorEastAsia"/>
                <w:b/>
                <w:kern w:val="0"/>
                <w:sz w:val="22"/>
                <w:szCs w:val="21"/>
              </w:rPr>
              <w:t>上年数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tcBorders>
              <w:top w:val="single" w:color="auto" w:sz="12" w:space="0"/>
            </w:tcBorders>
            <w:shd w:val="clear" w:color="auto" w:fill="auto"/>
            <w:vAlign w:val="bottom"/>
          </w:tcPr>
          <w:p>
            <w:pPr>
              <w:widowControl/>
              <w:jc w:val="left"/>
              <w:rPr>
                <w:rFonts w:asciiTheme="minorEastAsia" w:hAnsiTheme="minorEastAsia" w:eastAsiaTheme="minorEastAsia"/>
                <w:b/>
                <w:kern w:val="0"/>
                <w:szCs w:val="21"/>
              </w:rPr>
            </w:pPr>
            <w:r>
              <w:rPr>
                <w:rFonts w:asciiTheme="minorEastAsia" w:hAnsiTheme="minorEastAsia" w:eastAsiaTheme="minorEastAsia"/>
                <w:b/>
                <w:kern w:val="0"/>
                <w:szCs w:val="21"/>
              </w:rPr>
              <w:t>一、本年预算收入</w:t>
            </w:r>
          </w:p>
        </w:tc>
        <w:tc>
          <w:tcPr>
            <w:tcW w:w="1575" w:type="dxa"/>
            <w:tcBorders>
              <w:top w:val="single" w:color="auto" w:sz="12" w:space="0"/>
            </w:tcBorders>
            <w:shd w:val="clear" w:color="auto" w:fill="auto"/>
            <w:vAlign w:val="bottom"/>
          </w:tcPr>
          <w:p>
            <w:pPr>
              <w:widowControl/>
              <w:jc w:val="center"/>
              <w:rPr>
                <w:rFonts w:asciiTheme="minorEastAsia" w:hAnsiTheme="minorEastAsia" w:eastAsiaTheme="minorEastAsia"/>
                <w:kern w:val="0"/>
                <w:szCs w:val="21"/>
              </w:rPr>
            </w:pPr>
          </w:p>
        </w:tc>
        <w:tc>
          <w:tcPr>
            <w:tcW w:w="1638" w:type="dxa"/>
            <w:tcBorders>
              <w:top w:val="single" w:color="auto" w:sz="12" w:space="0"/>
            </w:tcBorders>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（一）财政拨款预算收入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其中：政府性基金收入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（二）事业预算收入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其中：科研预算收入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非科研预算收入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（三）上级补助预算收入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（四）附属单位上缴预算收入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（五）经营预算收入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（六）债务预算收入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（七）非同级财政拨款预算收入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（八）投资预算收益 </w:t>
            </w:r>
          </w:p>
        </w:tc>
        <w:tc>
          <w:tcPr>
            <w:tcW w:w="1575" w:type="dxa"/>
            <w:shd w:val="clear" w:color="auto" w:fill="auto"/>
            <w:vAlign w:val="bottom"/>
          </w:tcPr>
          <w:p>
            <w:pPr>
              <w:rPr>
                <w:rFonts w:asciiTheme="minorEastAsia" w:hAnsiTheme="minorEastAsia" w:eastAsiaTheme="minorEastAsia"/>
                <w:kern w:val="0"/>
                <w:szCs w:val="21"/>
              </w:rPr>
            </w:pPr>
            <w:r>
              <w:rPr>
                <w:rFonts w:asciiTheme="minorEastAsia" w:hAnsiTheme="minorEastAsia" w:eastAsiaTheme="minorEastAsia"/>
                <w:kern w:val="0"/>
                <w:szCs w:val="21"/>
              </w:rPr>
              <w:t xml:space="preserve">        </w:t>
            </w: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（九）其他预算收入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ind w:firstLine="630" w:firstLineChars="300"/>
              <w:jc w:val="left"/>
              <w:rPr>
                <w:rFonts w:asciiTheme="minorEastAsia" w:hAnsiTheme="minorEastAsia" w:eastAsiaTheme="minorEastAsia"/>
                <w:kern w:val="0"/>
                <w:szCs w:val="21"/>
              </w:rPr>
            </w:pPr>
            <w:r>
              <w:rPr>
                <w:rFonts w:asciiTheme="minorEastAsia" w:hAnsiTheme="minorEastAsia" w:eastAsiaTheme="minorEastAsia"/>
                <w:kern w:val="0"/>
                <w:szCs w:val="21"/>
              </w:rPr>
              <w:t>其中：利息预算收入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ind w:firstLine="1260" w:firstLineChars="600"/>
              <w:jc w:val="left"/>
              <w:rPr>
                <w:rFonts w:asciiTheme="minorEastAsia" w:hAnsiTheme="minorEastAsia" w:eastAsiaTheme="minorEastAsia"/>
                <w:kern w:val="0"/>
                <w:szCs w:val="21"/>
              </w:rPr>
            </w:pPr>
            <w:r>
              <w:rPr>
                <w:rFonts w:asciiTheme="minorEastAsia" w:hAnsiTheme="minorEastAsia" w:eastAsiaTheme="minorEastAsia"/>
                <w:kern w:val="0"/>
                <w:szCs w:val="21"/>
              </w:rPr>
              <w:t>捐赠预算收入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ind w:firstLine="1260" w:firstLineChars="600"/>
              <w:jc w:val="left"/>
              <w:rPr>
                <w:rFonts w:asciiTheme="minorEastAsia" w:hAnsiTheme="minorEastAsia" w:eastAsiaTheme="minorEastAsia"/>
                <w:kern w:val="0"/>
                <w:szCs w:val="21"/>
              </w:rPr>
            </w:pPr>
            <w:r>
              <w:rPr>
                <w:rFonts w:asciiTheme="minorEastAsia" w:hAnsiTheme="minorEastAsia" w:eastAsiaTheme="minorEastAsia"/>
                <w:kern w:val="0"/>
                <w:szCs w:val="21"/>
              </w:rPr>
              <w:t>租金预算收入</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b/>
                <w:kern w:val="0"/>
                <w:szCs w:val="21"/>
              </w:rPr>
            </w:pPr>
            <w:r>
              <w:rPr>
                <w:rFonts w:asciiTheme="minorEastAsia" w:hAnsiTheme="minorEastAsia" w:eastAsiaTheme="minorEastAsia"/>
                <w:b/>
                <w:kern w:val="0"/>
                <w:szCs w:val="21"/>
              </w:rPr>
              <w:t>二、本年预算支出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（一）行政支出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（二）事业支出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其中：科研支出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非科研支出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管理支出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（三）经营支出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（四）上缴上级支出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（五）对附属单位补助支出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（六）投资支出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（七）债务还本支出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t>（八）其他支出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ind w:firstLine="630" w:firstLineChars="300"/>
              <w:jc w:val="left"/>
              <w:rPr>
                <w:rFonts w:asciiTheme="minorEastAsia" w:hAnsiTheme="minorEastAsia" w:eastAsiaTheme="minorEastAsia"/>
                <w:kern w:val="0"/>
                <w:szCs w:val="21"/>
              </w:rPr>
            </w:pPr>
            <w:r>
              <w:rPr>
                <w:rFonts w:asciiTheme="minorEastAsia" w:hAnsiTheme="minorEastAsia" w:eastAsiaTheme="minorEastAsia"/>
                <w:kern w:val="0"/>
                <w:szCs w:val="21"/>
              </w:rPr>
              <w:t>其中：利息支出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shd w:val="clear" w:color="auto" w:fill="auto"/>
            <w:vAlign w:val="bottom"/>
          </w:tcPr>
          <w:p>
            <w:pPr>
              <w:widowControl/>
              <w:ind w:firstLine="420" w:firstLineChars="200"/>
              <w:jc w:val="left"/>
              <w:rPr>
                <w:rFonts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捐赠支出</w:t>
            </w:r>
          </w:p>
        </w:tc>
        <w:tc>
          <w:tcPr>
            <w:tcW w:w="1575" w:type="dxa"/>
            <w:shd w:val="clear" w:color="auto" w:fill="auto"/>
            <w:vAlign w:val="bottom"/>
          </w:tcPr>
          <w:p>
            <w:pPr>
              <w:widowControl/>
              <w:jc w:val="center"/>
              <w:rPr>
                <w:rFonts w:asciiTheme="minorEastAsia" w:hAnsiTheme="minorEastAsia" w:eastAsiaTheme="minorEastAsia"/>
                <w:kern w:val="0"/>
                <w:szCs w:val="21"/>
              </w:rPr>
            </w:pPr>
          </w:p>
        </w:tc>
        <w:tc>
          <w:tcPr>
            <w:tcW w:w="1638" w:type="dxa"/>
            <w:shd w:val="clear" w:color="auto" w:fill="auto"/>
            <w:vAlign w:val="bottom"/>
          </w:tcPr>
          <w:p>
            <w:pPr>
              <w:widowControl/>
              <w:jc w:val="center"/>
              <w:rPr>
                <w:rFonts w:asciiTheme="minorEastAsia" w:hAnsiTheme="minorEastAsia" w:eastAsiaTheme="minorEastAsia"/>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507" w:type="dxa"/>
            <w:tcBorders>
              <w:bottom w:val="single" w:color="auto" w:sz="12" w:space="0"/>
            </w:tcBorders>
            <w:shd w:val="clear" w:color="auto" w:fill="auto"/>
            <w:vAlign w:val="bottom"/>
          </w:tcPr>
          <w:p>
            <w:pPr>
              <w:widowControl/>
              <w:jc w:val="left"/>
              <w:rPr>
                <w:rFonts w:asciiTheme="minorEastAsia" w:hAnsiTheme="minorEastAsia" w:eastAsiaTheme="minorEastAsia"/>
                <w:b/>
                <w:kern w:val="0"/>
                <w:szCs w:val="21"/>
              </w:rPr>
            </w:pPr>
            <w:r>
              <w:rPr>
                <w:rFonts w:asciiTheme="minorEastAsia" w:hAnsiTheme="minorEastAsia" w:eastAsiaTheme="minorEastAsia"/>
                <w:b/>
                <w:kern w:val="0"/>
                <w:szCs w:val="21"/>
              </w:rPr>
              <w:t>三、本年预算收支差额</w:t>
            </w:r>
          </w:p>
        </w:tc>
        <w:tc>
          <w:tcPr>
            <w:tcW w:w="1575" w:type="dxa"/>
            <w:tcBorders>
              <w:bottom w:val="single" w:color="auto" w:sz="12" w:space="0"/>
            </w:tcBorders>
            <w:shd w:val="clear" w:color="auto" w:fill="auto"/>
            <w:vAlign w:val="bottom"/>
          </w:tcPr>
          <w:p>
            <w:pPr>
              <w:widowControl/>
              <w:jc w:val="center"/>
              <w:rPr>
                <w:rFonts w:asciiTheme="minorEastAsia" w:hAnsiTheme="minorEastAsia" w:eastAsiaTheme="minorEastAsia"/>
                <w:kern w:val="0"/>
                <w:szCs w:val="21"/>
              </w:rPr>
            </w:pPr>
          </w:p>
        </w:tc>
        <w:tc>
          <w:tcPr>
            <w:tcW w:w="1638" w:type="dxa"/>
            <w:tcBorders>
              <w:bottom w:val="single" w:color="auto" w:sz="12" w:space="0"/>
            </w:tcBorders>
            <w:shd w:val="clear" w:color="auto" w:fill="auto"/>
            <w:vAlign w:val="bottom"/>
          </w:tcPr>
          <w:p>
            <w:pPr>
              <w:widowControl/>
              <w:jc w:val="center"/>
              <w:rPr>
                <w:rFonts w:asciiTheme="minorEastAsia" w:hAnsiTheme="minorEastAsia" w:eastAsiaTheme="minorEastAsia"/>
                <w:kern w:val="0"/>
                <w:szCs w:val="21"/>
              </w:rPr>
            </w:pPr>
          </w:p>
        </w:tc>
      </w:tr>
    </w:tbl>
    <w:p>
      <w:pPr>
        <w:adjustRightInd w:val="0"/>
        <w:spacing w:beforeLines="50" w:after="100" w:line="360" w:lineRule="auto"/>
        <w:contextualSpacing/>
        <w:rPr>
          <w:rFonts w:ascii="仿宋" w:hAnsi="仿宋" w:eastAsia="仿宋" w:cs="仿宋"/>
          <w:sz w:val="32"/>
          <w:szCs w:val="32"/>
        </w:rPr>
      </w:pPr>
      <w:bookmarkStart w:id="34" w:name="_GoBack"/>
      <w:bookmarkEnd w:id="34"/>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389"/>
      <w:docPartObj>
        <w:docPartGallery w:val="AutoText"/>
      </w:docPartObj>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ind w:firstLine="400"/>
      </w:pPr>
      <w:r>
        <w:rPr>
          <w:rStyle w:val="13"/>
        </w:rPr>
        <w:footnoteRef/>
      </w:r>
      <w:r>
        <w:rPr>
          <w:rFonts w:hint="eastAsia"/>
        </w:rPr>
        <w:t>其他主要从事科学研究活动的事业单位可参照执行本规定。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4448175</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1"/>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7"/>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0218"/>
    <w:rsid w:val="00000AD5"/>
    <w:rsid w:val="00003727"/>
    <w:rsid w:val="00003C29"/>
    <w:rsid w:val="00010321"/>
    <w:rsid w:val="00044C15"/>
    <w:rsid w:val="00045FD5"/>
    <w:rsid w:val="0005096F"/>
    <w:rsid w:val="00051CA5"/>
    <w:rsid w:val="0005541D"/>
    <w:rsid w:val="000557DE"/>
    <w:rsid w:val="00056065"/>
    <w:rsid w:val="00061232"/>
    <w:rsid w:val="000660BD"/>
    <w:rsid w:val="00082D81"/>
    <w:rsid w:val="00085A76"/>
    <w:rsid w:val="00094654"/>
    <w:rsid w:val="000A0B6E"/>
    <w:rsid w:val="000A1E6A"/>
    <w:rsid w:val="000A2446"/>
    <w:rsid w:val="000A3908"/>
    <w:rsid w:val="000B2FA9"/>
    <w:rsid w:val="000B3155"/>
    <w:rsid w:val="000B32B4"/>
    <w:rsid w:val="000B5111"/>
    <w:rsid w:val="000C0771"/>
    <w:rsid w:val="000C2849"/>
    <w:rsid w:val="000C4ECB"/>
    <w:rsid w:val="000D06BE"/>
    <w:rsid w:val="000D0CDC"/>
    <w:rsid w:val="000D1F79"/>
    <w:rsid w:val="000D5F34"/>
    <w:rsid w:val="000E1F76"/>
    <w:rsid w:val="000E4C12"/>
    <w:rsid w:val="000F0424"/>
    <w:rsid w:val="000F5F10"/>
    <w:rsid w:val="00100E69"/>
    <w:rsid w:val="00105F35"/>
    <w:rsid w:val="001120F7"/>
    <w:rsid w:val="00124319"/>
    <w:rsid w:val="001279C3"/>
    <w:rsid w:val="0013288B"/>
    <w:rsid w:val="00134331"/>
    <w:rsid w:val="00134525"/>
    <w:rsid w:val="00135000"/>
    <w:rsid w:val="00135A0E"/>
    <w:rsid w:val="00140041"/>
    <w:rsid w:val="00143FCF"/>
    <w:rsid w:val="0014718D"/>
    <w:rsid w:val="001517B3"/>
    <w:rsid w:val="001634A0"/>
    <w:rsid w:val="00174436"/>
    <w:rsid w:val="0018355D"/>
    <w:rsid w:val="00184786"/>
    <w:rsid w:val="00192838"/>
    <w:rsid w:val="00192A01"/>
    <w:rsid w:val="00193E69"/>
    <w:rsid w:val="00196266"/>
    <w:rsid w:val="001969D7"/>
    <w:rsid w:val="001A43F0"/>
    <w:rsid w:val="001B0D5B"/>
    <w:rsid w:val="001B1E7B"/>
    <w:rsid w:val="001B3E3A"/>
    <w:rsid w:val="001B6C9A"/>
    <w:rsid w:val="001C1EA7"/>
    <w:rsid w:val="001C3637"/>
    <w:rsid w:val="001C61DD"/>
    <w:rsid w:val="001C6CDF"/>
    <w:rsid w:val="001D753F"/>
    <w:rsid w:val="001E07FB"/>
    <w:rsid w:val="001E7226"/>
    <w:rsid w:val="001E7520"/>
    <w:rsid w:val="001F1959"/>
    <w:rsid w:val="001F3012"/>
    <w:rsid w:val="001F452B"/>
    <w:rsid w:val="001F5711"/>
    <w:rsid w:val="002105BF"/>
    <w:rsid w:val="00213FAA"/>
    <w:rsid w:val="002140E2"/>
    <w:rsid w:val="00223073"/>
    <w:rsid w:val="00224FE7"/>
    <w:rsid w:val="00226AE8"/>
    <w:rsid w:val="00226E35"/>
    <w:rsid w:val="00231687"/>
    <w:rsid w:val="00234682"/>
    <w:rsid w:val="00235D63"/>
    <w:rsid w:val="00235ED2"/>
    <w:rsid w:val="00240DE1"/>
    <w:rsid w:val="0024136A"/>
    <w:rsid w:val="00241CC8"/>
    <w:rsid w:val="00242546"/>
    <w:rsid w:val="00252889"/>
    <w:rsid w:val="00253005"/>
    <w:rsid w:val="00257B0C"/>
    <w:rsid w:val="00257D6E"/>
    <w:rsid w:val="002625B1"/>
    <w:rsid w:val="002644C1"/>
    <w:rsid w:val="00265C0A"/>
    <w:rsid w:val="00267A6B"/>
    <w:rsid w:val="00281933"/>
    <w:rsid w:val="002834A6"/>
    <w:rsid w:val="002850FD"/>
    <w:rsid w:val="002922C3"/>
    <w:rsid w:val="00297181"/>
    <w:rsid w:val="00297F39"/>
    <w:rsid w:val="002A38E4"/>
    <w:rsid w:val="002A49D9"/>
    <w:rsid w:val="002B5412"/>
    <w:rsid w:val="002B774A"/>
    <w:rsid w:val="002C0CD7"/>
    <w:rsid w:val="002C2151"/>
    <w:rsid w:val="002D136D"/>
    <w:rsid w:val="002D4AF3"/>
    <w:rsid w:val="002D57FC"/>
    <w:rsid w:val="002E7C88"/>
    <w:rsid w:val="002F24BC"/>
    <w:rsid w:val="002F3963"/>
    <w:rsid w:val="00310805"/>
    <w:rsid w:val="00311498"/>
    <w:rsid w:val="0031294D"/>
    <w:rsid w:val="00323081"/>
    <w:rsid w:val="00323EDA"/>
    <w:rsid w:val="003429E7"/>
    <w:rsid w:val="003439DE"/>
    <w:rsid w:val="00343B96"/>
    <w:rsid w:val="0034633E"/>
    <w:rsid w:val="00346FF1"/>
    <w:rsid w:val="00347939"/>
    <w:rsid w:val="00350E25"/>
    <w:rsid w:val="003536D0"/>
    <w:rsid w:val="0035776D"/>
    <w:rsid w:val="00360E69"/>
    <w:rsid w:val="0036131D"/>
    <w:rsid w:val="00364920"/>
    <w:rsid w:val="0037126A"/>
    <w:rsid w:val="0037494E"/>
    <w:rsid w:val="00374B15"/>
    <w:rsid w:val="00377557"/>
    <w:rsid w:val="0038300D"/>
    <w:rsid w:val="003835B1"/>
    <w:rsid w:val="003838F4"/>
    <w:rsid w:val="003874E1"/>
    <w:rsid w:val="00387D77"/>
    <w:rsid w:val="00390218"/>
    <w:rsid w:val="003913A9"/>
    <w:rsid w:val="003B4A9C"/>
    <w:rsid w:val="003B772F"/>
    <w:rsid w:val="003B7B61"/>
    <w:rsid w:val="003C0E83"/>
    <w:rsid w:val="003D3468"/>
    <w:rsid w:val="003D6799"/>
    <w:rsid w:val="003E0293"/>
    <w:rsid w:val="003F0FF8"/>
    <w:rsid w:val="00403886"/>
    <w:rsid w:val="00412146"/>
    <w:rsid w:val="00415E3B"/>
    <w:rsid w:val="0042051C"/>
    <w:rsid w:val="004208F3"/>
    <w:rsid w:val="004307DF"/>
    <w:rsid w:val="00432F23"/>
    <w:rsid w:val="00435E17"/>
    <w:rsid w:val="004365CA"/>
    <w:rsid w:val="00446623"/>
    <w:rsid w:val="00446906"/>
    <w:rsid w:val="00451774"/>
    <w:rsid w:val="004534C8"/>
    <w:rsid w:val="00455C44"/>
    <w:rsid w:val="004563E2"/>
    <w:rsid w:val="00462896"/>
    <w:rsid w:val="00465966"/>
    <w:rsid w:val="00467E63"/>
    <w:rsid w:val="00470C81"/>
    <w:rsid w:val="004718AA"/>
    <w:rsid w:val="004718DE"/>
    <w:rsid w:val="00472B09"/>
    <w:rsid w:val="00473505"/>
    <w:rsid w:val="00475CB2"/>
    <w:rsid w:val="004761AC"/>
    <w:rsid w:val="00493130"/>
    <w:rsid w:val="00497B5F"/>
    <w:rsid w:val="004A1277"/>
    <w:rsid w:val="004B4FCB"/>
    <w:rsid w:val="004B72B9"/>
    <w:rsid w:val="004C2B91"/>
    <w:rsid w:val="004C581E"/>
    <w:rsid w:val="004C6FB7"/>
    <w:rsid w:val="004D1C12"/>
    <w:rsid w:val="004D25B8"/>
    <w:rsid w:val="004D292C"/>
    <w:rsid w:val="004D73B8"/>
    <w:rsid w:val="004D7B55"/>
    <w:rsid w:val="004F1847"/>
    <w:rsid w:val="004F1EF9"/>
    <w:rsid w:val="004F7FA0"/>
    <w:rsid w:val="00500645"/>
    <w:rsid w:val="00505933"/>
    <w:rsid w:val="0050654E"/>
    <w:rsid w:val="00507F90"/>
    <w:rsid w:val="00511D5A"/>
    <w:rsid w:val="00513233"/>
    <w:rsid w:val="005205B1"/>
    <w:rsid w:val="0052506F"/>
    <w:rsid w:val="0053676A"/>
    <w:rsid w:val="00540413"/>
    <w:rsid w:val="00544303"/>
    <w:rsid w:val="00544F96"/>
    <w:rsid w:val="005469DA"/>
    <w:rsid w:val="00547810"/>
    <w:rsid w:val="00552BC5"/>
    <w:rsid w:val="00554033"/>
    <w:rsid w:val="00556834"/>
    <w:rsid w:val="005618A6"/>
    <w:rsid w:val="005655FF"/>
    <w:rsid w:val="00565A05"/>
    <w:rsid w:val="005665B3"/>
    <w:rsid w:val="0057257C"/>
    <w:rsid w:val="005745A9"/>
    <w:rsid w:val="00583D0C"/>
    <w:rsid w:val="00584C11"/>
    <w:rsid w:val="005870A0"/>
    <w:rsid w:val="00587D24"/>
    <w:rsid w:val="00590749"/>
    <w:rsid w:val="00590CD8"/>
    <w:rsid w:val="005941BF"/>
    <w:rsid w:val="005A0662"/>
    <w:rsid w:val="005A1EF9"/>
    <w:rsid w:val="005B17FD"/>
    <w:rsid w:val="005B2290"/>
    <w:rsid w:val="005B3D8A"/>
    <w:rsid w:val="005B5869"/>
    <w:rsid w:val="005B6748"/>
    <w:rsid w:val="005B6DE3"/>
    <w:rsid w:val="005C3076"/>
    <w:rsid w:val="005C596B"/>
    <w:rsid w:val="005D15C9"/>
    <w:rsid w:val="005D2CF6"/>
    <w:rsid w:val="005E3A1F"/>
    <w:rsid w:val="005F3564"/>
    <w:rsid w:val="006015FE"/>
    <w:rsid w:val="0060210C"/>
    <w:rsid w:val="00603FCD"/>
    <w:rsid w:val="00611B95"/>
    <w:rsid w:val="00613A04"/>
    <w:rsid w:val="00623214"/>
    <w:rsid w:val="0062482F"/>
    <w:rsid w:val="00627EF0"/>
    <w:rsid w:val="00636081"/>
    <w:rsid w:val="0064356B"/>
    <w:rsid w:val="00643A1A"/>
    <w:rsid w:val="0064557E"/>
    <w:rsid w:val="00652527"/>
    <w:rsid w:val="00653AE4"/>
    <w:rsid w:val="00661E84"/>
    <w:rsid w:val="00661FBA"/>
    <w:rsid w:val="00662609"/>
    <w:rsid w:val="006638D9"/>
    <w:rsid w:val="00664838"/>
    <w:rsid w:val="00682803"/>
    <w:rsid w:val="00685F07"/>
    <w:rsid w:val="00690269"/>
    <w:rsid w:val="00691264"/>
    <w:rsid w:val="00697B5D"/>
    <w:rsid w:val="00697E8E"/>
    <w:rsid w:val="006A337A"/>
    <w:rsid w:val="006A48D8"/>
    <w:rsid w:val="006A4FAA"/>
    <w:rsid w:val="006B19B0"/>
    <w:rsid w:val="006B2E0C"/>
    <w:rsid w:val="006B3263"/>
    <w:rsid w:val="006B51BA"/>
    <w:rsid w:val="006B69CE"/>
    <w:rsid w:val="006C1983"/>
    <w:rsid w:val="006C441A"/>
    <w:rsid w:val="006C77A6"/>
    <w:rsid w:val="006D1EE6"/>
    <w:rsid w:val="006D56B3"/>
    <w:rsid w:val="006E1923"/>
    <w:rsid w:val="006E1C0A"/>
    <w:rsid w:val="006E4B21"/>
    <w:rsid w:val="006F7FF8"/>
    <w:rsid w:val="00700712"/>
    <w:rsid w:val="00700840"/>
    <w:rsid w:val="007038B1"/>
    <w:rsid w:val="00704463"/>
    <w:rsid w:val="00706A6F"/>
    <w:rsid w:val="007072AB"/>
    <w:rsid w:val="00716D08"/>
    <w:rsid w:val="00724D83"/>
    <w:rsid w:val="00733FAC"/>
    <w:rsid w:val="00744B9F"/>
    <w:rsid w:val="00744E03"/>
    <w:rsid w:val="00746097"/>
    <w:rsid w:val="00750480"/>
    <w:rsid w:val="00750BF0"/>
    <w:rsid w:val="0075303C"/>
    <w:rsid w:val="00753922"/>
    <w:rsid w:val="007559FF"/>
    <w:rsid w:val="00761135"/>
    <w:rsid w:val="007619A8"/>
    <w:rsid w:val="0076206C"/>
    <w:rsid w:val="00763184"/>
    <w:rsid w:val="00763F75"/>
    <w:rsid w:val="007704FB"/>
    <w:rsid w:val="00770CCF"/>
    <w:rsid w:val="0077262C"/>
    <w:rsid w:val="007914B3"/>
    <w:rsid w:val="007939A2"/>
    <w:rsid w:val="007A28FE"/>
    <w:rsid w:val="007A3580"/>
    <w:rsid w:val="007A6369"/>
    <w:rsid w:val="007A75C9"/>
    <w:rsid w:val="007A7DF3"/>
    <w:rsid w:val="007B31BC"/>
    <w:rsid w:val="007B3F4A"/>
    <w:rsid w:val="007B4ABB"/>
    <w:rsid w:val="007B6508"/>
    <w:rsid w:val="007C0334"/>
    <w:rsid w:val="007C150E"/>
    <w:rsid w:val="007C727F"/>
    <w:rsid w:val="007C742F"/>
    <w:rsid w:val="007D094E"/>
    <w:rsid w:val="007D1A60"/>
    <w:rsid w:val="007D20CD"/>
    <w:rsid w:val="007D2891"/>
    <w:rsid w:val="007D2BF8"/>
    <w:rsid w:val="007D7E9C"/>
    <w:rsid w:val="007E1747"/>
    <w:rsid w:val="007E373B"/>
    <w:rsid w:val="007E4DF3"/>
    <w:rsid w:val="007E4DF5"/>
    <w:rsid w:val="007E5115"/>
    <w:rsid w:val="007E5772"/>
    <w:rsid w:val="007F079D"/>
    <w:rsid w:val="007F0EAA"/>
    <w:rsid w:val="007F5711"/>
    <w:rsid w:val="007F58BF"/>
    <w:rsid w:val="007F7825"/>
    <w:rsid w:val="00821489"/>
    <w:rsid w:val="00824DDD"/>
    <w:rsid w:val="00853595"/>
    <w:rsid w:val="0086052F"/>
    <w:rsid w:val="00860D9D"/>
    <w:rsid w:val="00865455"/>
    <w:rsid w:val="0087123F"/>
    <w:rsid w:val="00872B35"/>
    <w:rsid w:val="00877638"/>
    <w:rsid w:val="00877B5A"/>
    <w:rsid w:val="008806A5"/>
    <w:rsid w:val="00890627"/>
    <w:rsid w:val="0089170A"/>
    <w:rsid w:val="00893BCC"/>
    <w:rsid w:val="008A7263"/>
    <w:rsid w:val="008B0787"/>
    <w:rsid w:val="008B313D"/>
    <w:rsid w:val="008B4939"/>
    <w:rsid w:val="008B6C33"/>
    <w:rsid w:val="008C21E6"/>
    <w:rsid w:val="008C471F"/>
    <w:rsid w:val="008C69A9"/>
    <w:rsid w:val="008D2202"/>
    <w:rsid w:val="008D2E3F"/>
    <w:rsid w:val="008D5607"/>
    <w:rsid w:val="008D78D5"/>
    <w:rsid w:val="008E1281"/>
    <w:rsid w:val="008E6734"/>
    <w:rsid w:val="008F14A8"/>
    <w:rsid w:val="008F25AE"/>
    <w:rsid w:val="008F28C5"/>
    <w:rsid w:val="009003EC"/>
    <w:rsid w:val="00901361"/>
    <w:rsid w:val="00901E52"/>
    <w:rsid w:val="00901F2A"/>
    <w:rsid w:val="009033B1"/>
    <w:rsid w:val="009039DF"/>
    <w:rsid w:val="00903ADB"/>
    <w:rsid w:val="009135E3"/>
    <w:rsid w:val="00916CAD"/>
    <w:rsid w:val="0092518E"/>
    <w:rsid w:val="009274BA"/>
    <w:rsid w:val="00927634"/>
    <w:rsid w:val="009316CF"/>
    <w:rsid w:val="0093341E"/>
    <w:rsid w:val="00933723"/>
    <w:rsid w:val="00936609"/>
    <w:rsid w:val="009401A9"/>
    <w:rsid w:val="00945E95"/>
    <w:rsid w:val="00946DCA"/>
    <w:rsid w:val="0095282E"/>
    <w:rsid w:val="0095676C"/>
    <w:rsid w:val="009630FD"/>
    <w:rsid w:val="00964C18"/>
    <w:rsid w:val="009726DA"/>
    <w:rsid w:val="00975E9B"/>
    <w:rsid w:val="00977D19"/>
    <w:rsid w:val="009815BB"/>
    <w:rsid w:val="00982330"/>
    <w:rsid w:val="00990530"/>
    <w:rsid w:val="00997332"/>
    <w:rsid w:val="009A373D"/>
    <w:rsid w:val="009B0607"/>
    <w:rsid w:val="009B0C81"/>
    <w:rsid w:val="009B6A49"/>
    <w:rsid w:val="009C0609"/>
    <w:rsid w:val="009C1BD7"/>
    <w:rsid w:val="009C1D64"/>
    <w:rsid w:val="009C1FE1"/>
    <w:rsid w:val="009C794D"/>
    <w:rsid w:val="009C7DC2"/>
    <w:rsid w:val="009D3130"/>
    <w:rsid w:val="009D5D0F"/>
    <w:rsid w:val="009E5244"/>
    <w:rsid w:val="009E6709"/>
    <w:rsid w:val="009F5B26"/>
    <w:rsid w:val="00A111E5"/>
    <w:rsid w:val="00A20185"/>
    <w:rsid w:val="00A20C33"/>
    <w:rsid w:val="00A210E9"/>
    <w:rsid w:val="00A26B80"/>
    <w:rsid w:val="00A275C7"/>
    <w:rsid w:val="00A30677"/>
    <w:rsid w:val="00A3226E"/>
    <w:rsid w:val="00A3495C"/>
    <w:rsid w:val="00A36BD7"/>
    <w:rsid w:val="00A40005"/>
    <w:rsid w:val="00A426C9"/>
    <w:rsid w:val="00A42B57"/>
    <w:rsid w:val="00A5532E"/>
    <w:rsid w:val="00A60330"/>
    <w:rsid w:val="00A60FFB"/>
    <w:rsid w:val="00A71DB2"/>
    <w:rsid w:val="00A83356"/>
    <w:rsid w:val="00A955A5"/>
    <w:rsid w:val="00AA437A"/>
    <w:rsid w:val="00AA5047"/>
    <w:rsid w:val="00AB0F58"/>
    <w:rsid w:val="00AB1180"/>
    <w:rsid w:val="00AB2EFA"/>
    <w:rsid w:val="00AB477E"/>
    <w:rsid w:val="00AB57DF"/>
    <w:rsid w:val="00AC02B5"/>
    <w:rsid w:val="00AC3E6A"/>
    <w:rsid w:val="00AC50F9"/>
    <w:rsid w:val="00AC59E4"/>
    <w:rsid w:val="00AC7665"/>
    <w:rsid w:val="00AD3784"/>
    <w:rsid w:val="00AE3F41"/>
    <w:rsid w:val="00AE61BC"/>
    <w:rsid w:val="00AF139A"/>
    <w:rsid w:val="00AF5DC2"/>
    <w:rsid w:val="00B0021F"/>
    <w:rsid w:val="00B03A6C"/>
    <w:rsid w:val="00B048EE"/>
    <w:rsid w:val="00B076B2"/>
    <w:rsid w:val="00B17073"/>
    <w:rsid w:val="00B21F5A"/>
    <w:rsid w:val="00B242F3"/>
    <w:rsid w:val="00B34A24"/>
    <w:rsid w:val="00B43FCC"/>
    <w:rsid w:val="00B44FA8"/>
    <w:rsid w:val="00B45769"/>
    <w:rsid w:val="00B55B6B"/>
    <w:rsid w:val="00B61BF8"/>
    <w:rsid w:val="00B62395"/>
    <w:rsid w:val="00B63DCC"/>
    <w:rsid w:val="00B65EBF"/>
    <w:rsid w:val="00B70B7E"/>
    <w:rsid w:val="00B8160B"/>
    <w:rsid w:val="00B816A0"/>
    <w:rsid w:val="00B8347C"/>
    <w:rsid w:val="00B8390F"/>
    <w:rsid w:val="00B8430D"/>
    <w:rsid w:val="00B9154D"/>
    <w:rsid w:val="00B94904"/>
    <w:rsid w:val="00BA188E"/>
    <w:rsid w:val="00BA2C15"/>
    <w:rsid w:val="00BA64EF"/>
    <w:rsid w:val="00BA675A"/>
    <w:rsid w:val="00BA78E5"/>
    <w:rsid w:val="00BB0071"/>
    <w:rsid w:val="00BB0697"/>
    <w:rsid w:val="00BB085E"/>
    <w:rsid w:val="00BB0FCC"/>
    <w:rsid w:val="00BB46A6"/>
    <w:rsid w:val="00BB4A02"/>
    <w:rsid w:val="00BB4AA3"/>
    <w:rsid w:val="00BB7CF8"/>
    <w:rsid w:val="00BC0545"/>
    <w:rsid w:val="00BC0B11"/>
    <w:rsid w:val="00BC5CC9"/>
    <w:rsid w:val="00BD0F6A"/>
    <w:rsid w:val="00BD3769"/>
    <w:rsid w:val="00BD5F02"/>
    <w:rsid w:val="00BD6468"/>
    <w:rsid w:val="00BD6FB0"/>
    <w:rsid w:val="00BE35C4"/>
    <w:rsid w:val="00BF06C5"/>
    <w:rsid w:val="00C0591B"/>
    <w:rsid w:val="00C06139"/>
    <w:rsid w:val="00C1053B"/>
    <w:rsid w:val="00C11D28"/>
    <w:rsid w:val="00C21BD7"/>
    <w:rsid w:val="00C27425"/>
    <w:rsid w:val="00C30BBD"/>
    <w:rsid w:val="00C319D9"/>
    <w:rsid w:val="00C32E7F"/>
    <w:rsid w:val="00C33BDB"/>
    <w:rsid w:val="00C41971"/>
    <w:rsid w:val="00C4340A"/>
    <w:rsid w:val="00C52BB4"/>
    <w:rsid w:val="00C556BA"/>
    <w:rsid w:val="00C62971"/>
    <w:rsid w:val="00C63B97"/>
    <w:rsid w:val="00C663EA"/>
    <w:rsid w:val="00C67C5E"/>
    <w:rsid w:val="00C70909"/>
    <w:rsid w:val="00C81940"/>
    <w:rsid w:val="00C845C8"/>
    <w:rsid w:val="00C849F5"/>
    <w:rsid w:val="00C85619"/>
    <w:rsid w:val="00C87315"/>
    <w:rsid w:val="00C87957"/>
    <w:rsid w:val="00C946EC"/>
    <w:rsid w:val="00C953AB"/>
    <w:rsid w:val="00CA107E"/>
    <w:rsid w:val="00CB0F74"/>
    <w:rsid w:val="00CB36FA"/>
    <w:rsid w:val="00CB4BF0"/>
    <w:rsid w:val="00CB55AF"/>
    <w:rsid w:val="00CD2722"/>
    <w:rsid w:val="00CD4F7C"/>
    <w:rsid w:val="00CD71C0"/>
    <w:rsid w:val="00CE15BB"/>
    <w:rsid w:val="00CE30B3"/>
    <w:rsid w:val="00CE312C"/>
    <w:rsid w:val="00CE50C8"/>
    <w:rsid w:val="00CE7E26"/>
    <w:rsid w:val="00CF7A9D"/>
    <w:rsid w:val="00CF7B6A"/>
    <w:rsid w:val="00D01D26"/>
    <w:rsid w:val="00D03C88"/>
    <w:rsid w:val="00D04220"/>
    <w:rsid w:val="00D04335"/>
    <w:rsid w:val="00D0708C"/>
    <w:rsid w:val="00D079F8"/>
    <w:rsid w:val="00D10848"/>
    <w:rsid w:val="00D175B9"/>
    <w:rsid w:val="00D2230E"/>
    <w:rsid w:val="00D31193"/>
    <w:rsid w:val="00D3257A"/>
    <w:rsid w:val="00D5097E"/>
    <w:rsid w:val="00D51196"/>
    <w:rsid w:val="00D54FA2"/>
    <w:rsid w:val="00D55A32"/>
    <w:rsid w:val="00D57A05"/>
    <w:rsid w:val="00D620B7"/>
    <w:rsid w:val="00D6686D"/>
    <w:rsid w:val="00D67642"/>
    <w:rsid w:val="00D701DA"/>
    <w:rsid w:val="00D70415"/>
    <w:rsid w:val="00D705AF"/>
    <w:rsid w:val="00D70604"/>
    <w:rsid w:val="00D70A84"/>
    <w:rsid w:val="00D72FB4"/>
    <w:rsid w:val="00D73334"/>
    <w:rsid w:val="00D73353"/>
    <w:rsid w:val="00D7518A"/>
    <w:rsid w:val="00D76FE6"/>
    <w:rsid w:val="00D77530"/>
    <w:rsid w:val="00D8140B"/>
    <w:rsid w:val="00D85616"/>
    <w:rsid w:val="00D87E37"/>
    <w:rsid w:val="00D906D8"/>
    <w:rsid w:val="00D9093D"/>
    <w:rsid w:val="00D91B25"/>
    <w:rsid w:val="00D977CF"/>
    <w:rsid w:val="00DA6DC9"/>
    <w:rsid w:val="00DB6A50"/>
    <w:rsid w:val="00DB76AC"/>
    <w:rsid w:val="00DC2F1C"/>
    <w:rsid w:val="00DC5BF7"/>
    <w:rsid w:val="00DD40A6"/>
    <w:rsid w:val="00DD49F3"/>
    <w:rsid w:val="00DD54D2"/>
    <w:rsid w:val="00DD568B"/>
    <w:rsid w:val="00DD6C68"/>
    <w:rsid w:val="00DD755F"/>
    <w:rsid w:val="00DE0DE4"/>
    <w:rsid w:val="00DE3E3D"/>
    <w:rsid w:val="00DF2AAB"/>
    <w:rsid w:val="00DF4E34"/>
    <w:rsid w:val="00E12A4F"/>
    <w:rsid w:val="00E1530F"/>
    <w:rsid w:val="00E167C3"/>
    <w:rsid w:val="00E237CD"/>
    <w:rsid w:val="00E245FE"/>
    <w:rsid w:val="00E36410"/>
    <w:rsid w:val="00E43ACF"/>
    <w:rsid w:val="00E47B19"/>
    <w:rsid w:val="00E52181"/>
    <w:rsid w:val="00E532F1"/>
    <w:rsid w:val="00E641B8"/>
    <w:rsid w:val="00E64320"/>
    <w:rsid w:val="00E7006E"/>
    <w:rsid w:val="00E8768D"/>
    <w:rsid w:val="00E91D04"/>
    <w:rsid w:val="00E93235"/>
    <w:rsid w:val="00E9716A"/>
    <w:rsid w:val="00EA35C6"/>
    <w:rsid w:val="00EA3BFB"/>
    <w:rsid w:val="00EA5047"/>
    <w:rsid w:val="00EB03FA"/>
    <w:rsid w:val="00EB0B33"/>
    <w:rsid w:val="00EB4D98"/>
    <w:rsid w:val="00EC0DEF"/>
    <w:rsid w:val="00EC28C6"/>
    <w:rsid w:val="00EC3250"/>
    <w:rsid w:val="00EC50D6"/>
    <w:rsid w:val="00EC5C4D"/>
    <w:rsid w:val="00ED53E2"/>
    <w:rsid w:val="00ED5A19"/>
    <w:rsid w:val="00EF422B"/>
    <w:rsid w:val="00F02F16"/>
    <w:rsid w:val="00F13AE1"/>
    <w:rsid w:val="00F17EF9"/>
    <w:rsid w:val="00F2104E"/>
    <w:rsid w:val="00F22BD1"/>
    <w:rsid w:val="00F23D15"/>
    <w:rsid w:val="00F26C4C"/>
    <w:rsid w:val="00F323B8"/>
    <w:rsid w:val="00F375F6"/>
    <w:rsid w:val="00F376DF"/>
    <w:rsid w:val="00F37C40"/>
    <w:rsid w:val="00F41970"/>
    <w:rsid w:val="00F50257"/>
    <w:rsid w:val="00F60399"/>
    <w:rsid w:val="00F6408C"/>
    <w:rsid w:val="00F6759A"/>
    <w:rsid w:val="00F704C8"/>
    <w:rsid w:val="00F7486E"/>
    <w:rsid w:val="00F819AA"/>
    <w:rsid w:val="00F871D1"/>
    <w:rsid w:val="00F91709"/>
    <w:rsid w:val="00F96982"/>
    <w:rsid w:val="00FA0B3A"/>
    <w:rsid w:val="00FA7A56"/>
    <w:rsid w:val="00FB4A03"/>
    <w:rsid w:val="00FB54D3"/>
    <w:rsid w:val="00FC16DD"/>
    <w:rsid w:val="00FC411F"/>
    <w:rsid w:val="00FC763A"/>
    <w:rsid w:val="00FD1AC6"/>
    <w:rsid w:val="00FD2774"/>
    <w:rsid w:val="00FD360E"/>
    <w:rsid w:val="00FD5945"/>
    <w:rsid w:val="00FF072E"/>
    <w:rsid w:val="00FF4CEC"/>
    <w:rsid w:val="00FF51E9"/>
    <w:rsid w:val="04161A62"/>
    <w:rsid w:val="058004A2"/>
    <w:rsid w:val="05D1054F"/>
    <w:rsid w:val="0A0A29D1"/>
    <w:rsid w:val="0BD05F21"/>
    <w:rsid w:val="0C3F1DB3"/>
    <w:rsid w:val="12FB40DF"/>
    <w:rsid w:val="152306B3"/>
    <w:rsid w:val="18772A50"/>
    <w:rsid w:val="1E2B4530"/>
    <w:rsid w:val="1ED2036C"/>
    <w:rsid w:val="1F023F21"/>
    <w:rsid w:val="21795F95"/>
    <w:rsid w:val="2D3B51B9"/>
    <w:rsid w:val="2D675FB9"/>
    <w:rsid w:val="2DF8205A"/>
    <w:rsid w:val="324A3020"/>
    <w:rsid w:val="32BF287F"/>
    <w:rsid w:val="3D0463CA"/>
    <w:rsid w:val="3E137BEA"/>
    <w:rsid w:val="40246C0C"/>
    <w:rsid w:val="40BD06B1"/>
    <w:rsid w:val="40FD20F5"/>
    <w:rsid w:val="44092482"/>
    <w:rsid w:val="471309E5"/>
    <w:rsid w:val="47830C57"/>
    <w:rsid w:val="4BD61EB4"/>
    <w:rsid w:val="4D1368F6"/>
    <w:rsid w:val="507D6AD9"/>
    <w:rsid w:val="593F60F9"/>
    <w:rsid w:val="5A504521"/>
    <w:rsid w:val="5AF15CA0"/>
    <w:rsid w:val="5C2B2266"/>
    <w:rsid w:val="68575D71"/>
    <w:rsid w:val="68D02981"/>
    <w:rsid w:val="69210014"/>
    <w:rsid w:val="6D782736"/>
    <w:rsid w:val="6ECB545E"/>
    <w:rsid w:val="6F0A3C9F"/>
    <w:rsid w:val="76735EA9"/>
    <w:rsid w:val="768422E5"/>
    <w:rsid w:val="78BE5D58"/>
    <w:rsid w:val="7EA74E6C"/>
    <w:rsid w:val="7ECA2FFE"/>
    <w:rsid w:val="7FEB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3"/>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unhideWhenUsed/>
    <w:qFormat/>
    <w:uiPriority w:val="99"/>
    <w:rPr>
      <w:b/>
      <w:bCs/>
    </w:rPr>
  </w:style>
  <w:style w:type="paragraph" w:styleId="4">
    <w:name w:val="annotation text"/>
    <w:basedOn w:val="1"/>
    <w:link w:val="18"/>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unhideWhenUsed/>
    <w:qFormat/>
    <w:uiPriority w:val="99"/>
    <w:pPr>
      <w:widowControl/>
      <w:ind w:firstLine="200" w:firstLineChars="200"/>
      <w:jc w:val="left"/>
    </w:pPr>
    <w:rPr>
      <w:rFonts w:asciiTheme="minorHAnsi" w:hAnsiTheme="minorHAnsi" w:eastAsiaTheme="minorEastAsia" w:cstheme="minorBidi"/>
      <w:kern w:val="0"/>
      <w:sz w:val="20"/>
      <w:szCs w:val="20"/>
      <w:lang w:val="en-GB"/>
    </w:rPr>
  </w:style>
  <w:style w:type="character" w:styleId="10">
    <w:name w:val="Emphasis"/>
    <w:basedOn w:val="9"/>
    <w:qFormat/>
    <w:uiPriority w:val="0"/>
    <w:rPr>
      <w:i/>
      <w:iCs/>
    </w:rPr>
  </w:style>
  <w:style w:type="character" w:styleId="11">
    <w:name w:val="Hyperlink"/>
    <w:basedOn w:val="9"/>
    <w:semiHidden/>
    <w:unhideWhenUsed/>
    <w:qFormat/>
    <w:uiPriority w:val="99"/>
    <w:rPr>
      <w:color w:val="333333"/>
      <w:u w:val="none"/>
    </w:rPr>
  </w:style>
  <w:style w:type="character" w:styleId="12">
    <w:name w:val="annotation reference"/>
    <w:basedOn w:val="9"/>
    <w:unhideWhenUsed/>
    <w:qFormat/>
    <w:uiPriority w:val="99"/>
    <w:rPr>
      <w:sz w:val="21"/>
      <w:szCs w:val="21"/>
    </w:rPr>
  </w:style>
  <w:style w:type="character" w:styleId="13">
    <w:name w:val="footnote reference"/>
    <w:unhideWhenUsed/>
    <w:qFormat/>
    <w:uiPriority w:val="99"/>
    <w:rPr>
      <w:vertAlign w:val="superscript"/>
    </w:rPr>
  </w:style>
  <w:style w:type="paragraph" w:styleId="15">
    <w:name w:val="List Paragraph"/>
    <w:basedOn w:val="1"/>
    <w:qFormat/>
    <w:uiPriority w:val="99"/>
    <w:pPr>
      <w:ind w:firstLine="420" w:firstLineChars="200"/>
    </w:pPr>
  </w:style>
  <w:style w:type="character" w:customStyle="1" w:styleId="16">
    <w:name w:val="页眉 Char"/>
    <w:basedOn w:val="9"/>
    <w:link w:val="7"/>
    <w:semiHidden/>
    <w:qFormat/>
    <w:uiPriority w:val="99"/>
    <w:rPr>
      <w:rFonts w:ascii="Calibri" w:hAnsi="Calibri" w:eastAsia="宋体" w:cs="Times New Roman"/>
      <w:sz w:val="18"/>
      <w:szCs w:val="18"/>
    </w:rPr>
  </w:style>
  <w:style w:type="character" w:customStyle="1" w:styleId="17">
    <w:name w:val="页脚 Char"/>
    <w:basedOn w:val="9"/>
    <w:link w:val="6"/>
    <w:qFormat/>
    <w:uiPriority w:val="99"/>
    <w:rPr>
      <w:rFonts w:ascii="Calibri" w:hAnsi="Calibri" w:eastAsia="宋体" w:cs="Times New Roman"/>
      <w:sz w:val="18"/>
      <w:szCs w:val="18"/>
    </w:rPr>
  </w:style>
  <w:style w:type="character" w:customStyle="1" w:styleId="18">
    <w:name w:val="批注文字 Char"/>
    <w:basedOn w:val="9"/>
    <w:link w:val="4"/>
    <w:qFormat/>
    <w:uiPriority w:val="99"/>
    <w:rPr>
      <w:rFonts w:ascii="Calibri" w:hAnsi="Calibri" w:eastAsia="宋体" w:cs="Times New Roman"/>
    </w:rPr>
  </w:style>
  <w:style w:type="character" w:customStyle="1" w:styleId="19">
    <w:name w:val="批注主题 Char"/>
    <w:basedOn w:val="18"/>
    <w:link w:val="3"/>
    <w:semiHidden/>
    <w:qFormat/>
    <w:uiPriority w:val="99"/>
    <w:rPr>
      <w:rFonts w:ascii="Calibri" w:hAnsi="Calibri" w:eastAsia="宋体" w:cs="Times New Roman"/>
      <w:b/>
      <w:bCs/>
    </w:rPr>
  </w:style>
  <w:style w:type="character" w:customStyle="1" w:styleId="20">
    <w:name w:val="批注框文本 Char"/>
    <w:basedOn w:val="9"/>
    <w:link w:val="5"/>
    <w:semiHidden/>
    <w:qFormat/>
    <w:uiPriority w:val="99"/>
    <w:rPr>
      <w:rFonts w:ascii="Calibri" w:hAnsi="Calibri" w:eastAsia="宋体" w:cs="Times New Roman"/>
      <w:sz w:val="18"/>
      <w:szCs w:val="18"/>
    </w:rPr>
  </w:style>
  <w:style w:type="character" w:customStyle="1" w:styleId="21">
    <w:name w:val="脚注文本 Char"/>
    <w:link w:val="8"/>
    <w:qFormat/>
    <w:uiPriority w:val="99"/>
    <w:rPr>
      <w:lang w:val="en-GB"/>
    </w:rPr>
  </w:style>
  <w:style w:type="character" w:customStyle="1" w:styleId="22">
    <w:name w:val="脚注文本 Char1"/>
    <w:basedOn w:val="9"/>
    <w:semiHidden/>
    <w:qFormat/>
    <w:uiPriority w:val="99"/>
    <w:rPr>
      <w:rFonts w:ascii="Calibri" w:hAnsi="Calibri" w:eastAsia="宋体" w:cs="Times New Roman"/>
      <w:kern w:val="2"/>
      <w:sz w:val="18"/>
      <w:szCs w:val="18"/>
    </w:rPr>
  </w:style>
  <w:style w:type="character" w:customStyle="1" w:styleId="23">
    <w:name w:val="标题 2 Char"/>
    <w:basedOn w:val="9"/>
    <w:link w:val="2"/>
    <w:qFormat/>
    <w:uiPriority w:val="0"/>
    <w:rPr>
      <w:rFonts w:ascii="Cambria" w:hAnsi="Cambria" w:eastAsia="宋体" w:cs="Times New Roman"/>
      <w:b/>
      <w:bCs/>
      <w:sz w:val="32"/>
      <w:szCs w:val="32"/>
    </w:rPr>
  </w:style>
  <w:style w:type="paragraph" w:customStyle="1" w:styleId="2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6CDAD-F335-4C86-B5AE-7311DAB1E4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823</Words>
  <Characters>4697</Characters>
  <Lines>39</Lines>
  <Paragraphs>11</Paragraphs>
  <TotalTime>1</TotalTime>
  <ScaleCrop>false</ScaleCrop>
  <LinksUpToDate>false</LinksUpToDate>
  <CharactersWithSpaces>5509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2018-06-12T00:53:00Z</dcterms:created>
  <dc:creator>HP</dc:creator>
  <cp:lastModifiedBy>pc</cp:lastModifiedBy>
  <cp:lastPrinted>2018-08-22T01:23:00Z</cp:lastPrinted>
  <dcterms:modified xsi:type="dcterms:W3CDTF">2018-12-09T08:32:12Z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