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6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关于国有林场和苗圃执行《政府会计制度——行政事业单位会计科目和报表》的补充规定</w:t>
      </w:r>
    </w:p>
    <w:p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 xml:space="preserve">    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根据《政府会计准则——基本准则》，</w:t>
      </w:r>
      <w:r>
        <w:rPr>
          <w:rFonts w:hint="eastAsia" w:eastAsia="仿宋_GB2312"/>
          <w:sz w:val="32"/>
          <w:szCs w:val="32"/>
        </w:rPr>
        <w:t>结合行业实际情况，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现就国有林场和苗圃</w:t>
      </w:r>
      <w:r>
        <w:rPr>
          <w:rStyle w:val="12"/>
          <w:rFonts w:ascii="仿宋_GB2312" w:hAnsi="Times New Roman" w:eastAsia="仿宋_GB2312" w:cs="Times New Roman"/>
          <w:kern w:val="0"/>
          <w:sz w:val="32"/>
          <w:szCs w:val="32"/>
        </w:rPr>
        <w:footnoteReference w:id="0"/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（以下简称林场）执行《政府会计制度——行政事业单位会计科目和报表》（以下简称新制度）做出如下补充规定：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一、新增一级科目及其使用说明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林场应当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增设“1614 营林工程”和“1841 林木资产”一级科目。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（二）关于增设科目的使用说明</w:t>
      </w:r>
    </w:p>
    <w:p>
      <w:pPr>
        <w:adjustRightInd w:val="0"/>
        <w:snapToGrid w:val="0"/>
        <w:spacing w:line="62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1614 </w:t>
      </w:r>
      <w:r>
        <w:rPr>
          <w:rFonts w:hint="eastAsia" w:ascii="仿宋_GB2312" w:hAnsi="Times New Roman" w:eastAsia="仿宋_GB2312"/>
          <w:sz w:val="32"/>
          <w:szCs w:val="32"/>
        </w:rPr>
        <w:t>营林工程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一、本科目核算林场发生的育苗、造林、抚育、管护各种林木和苗木的生产成本。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生产性林木资产达到正式投产可以采收林产品后，继续发生的管护费用，应当作为林产品的生产成本，通过“加工物品”科目核算。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二、本科目应当设置“苗木生产成本”、“林木生产成本”、“间接费用”等明细科目。在“林木生产成本”明细科目下，可按“消耗性林木成本”、“生产性林木成本”、“公益性林木成本”设置明细科目。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三、营林工程的主要账务处理如下：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发生属于营林生产的费用时，按照可以直接计入营林成本的费用，借记本科目（苗木生产成本、林木生产成本），按照需要分摊计入营林成本的费用，借记本科目（间接费用），贷记“林木资产──苗木”、“库存物品”、“应付职工薪酬”、“财政拨款收入”、“零余额账户用款额度”、“银行存款”、“固定资产累计折旧”、“长期待摊费用”等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（二）月末，将间接费用按照一定的分配方法计入营林成本，借记本科目（苗木生产成本、林木生产成本），贷记本科目（间接费用）。结转后，本科目的“间接费用”明细科目应无余额。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（三）期末，将竣工的营林工程发生的营林生产成本转入林木资产，借记“林木资产”科目，贷记本科目。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（四）采伐或处置未竣工的林木、苗木时，应当先将林木、苗木的生产成本转入林木资产账面余额。结转时，借记“林木资产”科目，贷记本科目。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四、本科目期末借方余额，反映林场尚未结转的营林工程发生的实际成本。</w:t>
      </w:r>
    </w:p>
    <w:p>
      <w:pPr>
        <w:spacing w:line="620" w:lineRule="exact"/>
        <w:jc w:val="center"/>
        <w:rPr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1841 林木资产</w:t>
      </w:r>
    </w:p>
    <w:p>
      <w:pPr>
        <w:pStyle w:val="4"/>
        <w:adjustRightInd w:val="0"/>
        <w:snapToGrid w:val="0"/>
        <w:spacing w:line="620" w:lineRule="exact"/>
        <w:ind w:firstLine="646"/>
        <w:rPr>
          <w:rFonts w:ascii="仿宋_GB2312" w:hAnsi="楷体" w:eastAsia="仿宋_GB2312" w:cs="Times New Roman"/>
          <w:spacing w:val="0"/>
          <w:sz w:val="32"/>
          <w:szCs w:val="32"/>
        </w:rPr>
      </w:pPr>
      <w:r>
        <w:rPr>
          <w:rFonts w:hint="eastAsia" w:ascii="仿宋_GB2312" w:hAnsi="楷体" w:eastAsia="仿宋_GB2312" w:cs="Times New Roman"/>
          <w:spacing w:val="0"/>
          <w:sz w:val="32"/>
          <w:szCs w:val="32"/>
        </w:rPr>
        <w:t>一、本科目核算林场营造管理的各种活立木资产和苗木资产的累计成本。</w:t>
      </w:r>
    </w:p>
    <w:p>
      <w:pPr>
        <w:pStyle w:val="4"/>
        <w:adjustRightInd w:val="0"/>
        <w:snapToGrid w:val="0"/>
        <w:spacing w:line="620" w:lineRule="exact"/>
        <w:ind w:firstLine="646"/>
        <w:rPr>
          <w:rFonts w:ascii="仿宋_GB2312" w:hAnsi="楷体" w:eastAsia="仿宋_GB2312" w:cs="Times New Roman"/>
          <w:spacing w:val="0"/>
          <w:sz w:val="32"/>
          <w:szCs w:val="32"/>
        </w:rPr>
      </w:pPr>
      <w:r>
        <w:rPr>
          <w:rFonts w:hint="eastAsia" w:ascii="仿宋_GB2312" w:hAnsi="楷体" w:eastAsia="仿宋_GB2312" w:cs="Times New Roman"/>
          <w:spacing w:val="0"/>
          <w:sz w:val="32"/>
          <w:szCs w:val="32"/>
        </w:rPr>
        <w:t>二、本科目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应当</w:t>
      </w:r>
      <w:r>
        <w:rPr>
          <w:rFonts w:hint="eastAsia" w:ascii="仿宋_GB2312" w:hAnsi="楷体" w:eastAsia="仿宋_GB2312" w:cs="Times New Roman"/>
          <w:spacing w:val="0"/>
          <w:sz w:val="32"/>
          <w:szCs w:val="32"/>
        </w:rPr>
        <w:t>设置“苗木”和“林木”两个明细科目，在“林木”明细科目下，可按“消耗性林木资产”、“生产性林木资产”、“公益性林木资产”设置明细科目。</w:t>
      </w:r>
    </w:p>
    <w:p>
      <w:pPr>
        <w:spacing w:line="620" w:lineRule="exact"/>
        <w:ind w:firstLine="552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三、林木资产的主要账务处理如下：</w:t>
      </w:r>
    </w:p>
    <w:p>
      <w:pPr>
        <w:spacing w:line="620" w:lineRule="exact"/>
        <w:ind w:firstLine="552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（一）林木资产取得时，应当按照其取得时的成本入账。</w:t>
      </w:r>
    </w:p>
    <w:p>
      <w:pPr>
        <w:spacing w:line="620" w:lineRule="exact"/>
        <w:ind w:firstLine="640" w:firstLineChars="200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1.自行营造形成的林木，期末按照该林木达到营林工程竣工标准发生的育苗、造林、抚育、管护成本，结转营林生产成本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借记本科目，贷记“营林工程”科目。</w:t>
      </w:r>
    </w:p>
    <w:p>
      <w:pPr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２.购入或有偿调入的林木，按照购入或有偿调入的成本，借记本科目，贷记“财政拨款收入”、“零余额账户用款额度”、“银行存款”等科目。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３.无偿调入的林木，按照该林木资产在调出方的账面价值加相关费用，借记本科目，按照发生的归属于调入方的相关费用，贷记“银行存款”等科目，按照其差额，贷记“无偿调拨净资产”科目。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（二）按规定采伐林木、自主出售成品苗木或造林时，应当减少相应林木资产的账面余额。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１.更新采伐公益性林木资产时，按照被采伐林木的林木资产账面余额，借记“业务活动费用”、“库存物品”等科目，贷记本科目。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２.采伐消耗性林木资产时，按照被采伐林木的林木资产账面余额，借记“业务活动费用”、“经营费用”、“库存物品”等科目，贷记本科目。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３.自主出售成品苗木或造林时，按照该苗木的林木资产账面余额，借记“经营费用”等科目[出售]或“营林工程”科目[造林]，贷记本科目。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（三）生产性林木资产的账面余额，应当在林产品采收期限内逐期摊入林产品的成本，各期摊销时，借记“加工物品──林产品生产成本”科目，贷记本科目。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（四）</w:t>
      </w:r>
      <w:r>
        <w:rPr>
          <w:rFonts w:hint="eastAsia" w:ascii="仿宋_GB2312" w:hAnsi="楷体" w:eastAsia="仿宋_GB2312" w:cs="Times New Roman"/>
          <w:sz w:val="32"/>
          <w:szCs w:val="32"/>
        </w:rPr>
        <w:t>按规定报经批准处置林木资产，应当分别以下情况处理：</w:t>
      </w:r>
    </w:p>
    <w:p>
      <w:pPr>
        <w:pStyle w:val="4"/>
        <w:adjustRightInd w:val="0"/>
        <w:snapToGrid w:val="0"/>
        <w:spacing w:line="620" w:lineRule="exact"/>
        <w:ind w:firstLine="664" w:firstLineChars="200"/>
        <w:rPr>
          <w:rFonts w:ascii="仿宋_GB2312" w:hAnsi="楷体" w:eastAsia="仿宋_GB2312" w:cs="Times New Roman"/>
          <w:spacing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１.</w:t>
      </w:r>
      <w:r>
        <w:rPr>
          <w:rFonts w:hint="eastAsia" w:ascii="仿宋_GB2312" w:hAnsi="楷体" w:eastAsia="仿宋_GB2312" w:cs="Times New Roman"/>
          <w:spacing w:val="0"/>
          <w:sz w:val="32"/>
          <w:szCs w:val="32"/>
        </w:rPr>
        <w:t>报经批准有偿转让林木资产（不含可自主出售的林木资产）时，按照被转让林木资产的账面余额，借记“资产处置费用”科目，贷记本科目。同时，按照收到的价款，借记“银行存款”等科目，按照处置过程中发生的相关费用，贷记“银行存款”等科目，按照收到的价款扣除相关费用后的差额，贷记“应缴财政款”科目；如果按照有关规定将林木资产转让净收入纳入本单位预算管理的，应当按照收到的价款扣除相关费用后的差额，贷记“其他收入”科目。</w:t>
      </w:r>
    </w:p>
    <w:p>
      <w:pPr>
        <w:pStyle w:val="4"/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 w:cs="Times New Roman"/>
          <w:spacing w:val="0"/>
          <w:sz w:val="32"/>
          <w:szCs w:val="32"/>
        </w:rPr>
      </w:pPr>
      <w:r>
        <w:rPr>
          <w:rFonts w:hint="eastAsia" w:ascii="仿宋_GB2312" w:hAnsi="楷体" w:eastAsia="仿宋_GB2312" w:cs="Times New Roman"/>
          <w:spacing w:val="0"/>
          <w:sz w:val="32"/>
          <w:szCs w:val="32"/>
        </w:rPr>
        <w:t>报经批准有偿转让林木的林地使用权，其林地附着的林木资产的账面余额及处置收入和费用，按照有偿转让林木资产进行账务处理。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２.</w:t>
      </w:r>
      <w:r>
        <w:rPr>
          <w:rFonts w:hint="eastAsia" w:ascii="仿宋_GB2312" w:hAnsi="楷体" w:eastAsia="仿宋_GB2312" w:cs="Times New Roman"/>
          <w:sz w:val="32"/>
          <w:szCs w:val="32"/>
        </w:rPr>
        <w:t>报经批准无偿调出林木资产时，按照调出林木资产的账面余额，借记“无偿调拨净资产”科目，贷记本科目。同时，按照无偿调出过程中发生的归属于调出方的相关费用，借记“资产处置费用”科目，贷记“银行存款”等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３.</w:t>
      </w:r>
      <w:r>
        <w:rPr>
          <w:rFonts w:hint="eastAsia" w:ascii="仿宋_GB2312" w:hAnsi="楷体" w:eastAsia="仿宋_GB2312" w:cs="Times New Roman"/>
          <w:sz w:val="32"/>
          <w:szCs w:val="32"/>
        </w:rPr>
        <w:t>报经批准用林木资产投资时，参照新制度中关于置换换入相关资产的规定进行账务处理。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４</w:t>
      </w:r>
      <w:r>
        <w:rPr>
          <w:rFonts w:hint="eastAsia" w:ascii="仿宋_GB2312" w:hAnsi="楷体" w:eastAsia="仿宋_GB2312" w:cs="Times New Roman"/>
          <w:sz w:val="32"/>
          <w:szCs w:val="32"/>
        </w:rPr>
        <w:t>.因遭受自然灾害等致使林木资产发生损毁时，应当将被损毁林木资产的账面余额转入待处理财产损溢。结转时，借记“待处理财产损溢”科目，贷记本科目。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四、本科目期末借方余额，反映林场林木资产的累计成本。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二、关于报表及编制说明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（一）新增项目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林场应当</w:t>
      </w:r>
      <w:r>
        <w:rPr>
          <w:rFonts w:hint="eastAsia" w:ascii="仿宋_GB2312" w:eastAsia="仿宋_GB2312"/>
          <w:sz w:val="32"/>
          <w:szCs w:val="32"/>
        </w:rPr>
        <w:t>在资产负债表“保障性住房净值”和“长期待摊费用”项目之间增加“林木资产”项目。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（二）新增项目的填列方法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场在编制资产负债表时，应当按照“林木资产──苗木”和“林木资产──林木──消耗性林木资产”科目期末余额的合计数填列“存货”项目，按照“林木资产”科目其余的期末余额填列“林木资产”项目；按照“营林工程──苗木生产成本”和“营林工程──林木生产成本──消耗性林木成本”科目期末余额的合计数填列“存货”项目，按照“营林工程”科目其余的期末余额填列“林木资产”项目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三、生效日期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本规定自2019年1月1日起施行。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264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sz w:val="21"/>
          <w:szCs w:val="21"/>
        </w:rPr>
        <w:t>本规定所指的国有林场和苗圃，是指</w:t>
      </w:r>
      <w:r>
        <w:rPr>
          <w:rFonts w:hint="eastAsia" w:asciiTheme="minorEastAsia" w:hAnsiTheme="minorEastAsia"/>
          <w:color w:val="000000"/>
          <w:sz w:val="21"/>
          <w:szCs w:val="21"/>
        </w:rPr>
        <w:t>中华人民共和国境内各级人民政府设立的，从事保护培育森林资源、维护国家生态安全、提供生态服务，不以营利为目的、独立核算的公益性事业单位性质国有林场和苗圃。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3" w:firstLineChars="200"/>
      <w:jc w:val="both"/>
      <w:rPr>
        <w:rFonts w:hint="eastAsia"/>
        <w:b/>
        <w:bCs/>
        <w:color w:val="auto"/>
        <w:sz w:val="32"/>
        <w:szCs w:val="32"/>
        <w:u w:val="none"/>
        <w:lang w:val="en-US" w:eastAsia="zh-CN"/>
      </w:rPr>
    </w:pPr>
    <w:r>
      <w:rPr>
        <w:rFonts w:hint="eastAsia" w:eastAsia="宋体"/>
        <w:b/>
        <w:bCs/>
        <w:sz w:val="32"/>
        <w:szCs w:val="32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-360680</wp:posOffset>
          </wp:positionV>
          <wp:extent cx="818515" cy="818515"/>
          <wp:effectExtent l="0" t="0" r="635" b="635"/>
          <wp:wrapNone/>
          <wp:docPr id="1" name="图片 1" descr="内控云平台公众号二维码2018-5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内控云平台公众号二维码2018-5-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32"/>
      </w:rPr>
      <w:pict>
        <v:line id="直接连接符 2" o:spid="_x0000_s2049" o:spt="20" style="position:absolute;left:0pt;margin-left:422.55pt;margin-top:-7.45pt;height:0pt;width:2.25pt;z-index:251661312;mso-width-relative:page;mso-height-relative:page;" filled="f" stroked="t" coordsize="21600,21600" o:gfxdata="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Dxz9bZAAAACwEAAA8AAAAA&#10;AAAAAQAgAAAAIgAAAGRycy9kb3ducmV2LnhtbFBLAQIUABQAAAAIAIdO4kDhOrYq2gEAAGwDAAAO&#10;AAAAAAAAAAEAIAAAACgBAABkcnMvZTJvRG9jLnhtbFBLBQYAAAAABgAGAFkBAAB0BQAAAAA=&#10;">
          <v:path arrowok="t"/>
          <v:fill on="f" focussize="0,0"/>
          <v:stroke weight="0.5pt" color="#5B9BD5" joinstyle="miter"/>
          <v:imagedata o:title=""/>
          <o:lock v:ext="edit" aspectratio="f"/>
        </v:line>
      </w:pict>
    </w:r>
    <w:r>
      <w:rPr>
        <w:rFonts w:hint="eastAsia" w:eastAsia="宋体"/>
        <w:b/>
        <w:bCs/>
        <w:sz w:val="32"/>
        <w:szCs w:val="32"/>
        <w:lang w:eastAsia="zh-CN"/>
      </w:rPr>
      <w:t>找制度流程</w:t>
    </w:r>
    <w:r>
      <w:rPr>
        <w:rFonts w:hint="eastAsia"/>
        <w:b/>
        <w:bCs/>
        <w:sz w:val="32"/>
        <w:szCs w:val="32"/>
        <w:lang w:val="en-US" w:eastAsia="zh-CN"/>
      </w:rPr>
      <w:t xml:space="preserve"> 上内控云平台 </w:t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fldChar w:fldCharType="begin"/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instrText xml:space="preserve"> HYPERLINK "http://www.nkypt.com" </w:instrText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fldChar w:fldCharType="separate"/>
    </w:r>
    <w:r>
      <w:rPr>
        <w:rStyle w:val="10"/>
        <w:rFonts w:hint="eastAsia"/>
        <w:b/>
        <w:bCs/>
        <w:color w:val="FF0000"/>
        <w:sz w:val="32"/>
        <w:szCs w:val="32"/>
        <w:u w:val="none"/>
        <w:lang w:val="en-US" w:eastAsia="zh-CN"/>
      </w:rPr>
      <w:t>www.nkypt.com</w:t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fldChar w:fldCharType="end"/>
    </w:r>
  </w:p>
  <w:p>
    <w:pPr>
      <w:pStyle w:val="7"/>
      <w:ind w:firstLine="2108" w:firstLineChars="1000"/>
      <w:jc w:val="both"/>
    </w:pPr>
    <w:r>
      <w:rPr>
        <w:rFonts w:hint="eastAsia"/>
        <w:b/>
        <w:bCs/>
        <w:color w:val="auto"/>
        <w:sz w:val="21"/>
        <w:szCs w:val="21"/>
        <w:u w:val="none"/>
        <w:lang w:val="en-US" w:eastAsia="zh-CN"/>
      </w:rPr>
      <w:t>全国统一服务热线</w:t>
    </w:r>
    <w:r>
      <w:rPr>
        <w:rFonts w:hint="eastAsia" w:ascii="宋体" w:hAnsi="宋体" w:eastAsia="宋体" w:cs="宋体"/>
        <w:b/>
        <w:bCs/>
        <w:color w:val="auto"/>
        <w:sz w:val="21"/>
        <w:szCs w:val="21"/>
        <w:u w:val="none"/>
        <w:lang w:val="en-US" w:eastAsia="zh-CN"/>
      </w:rPr>
      <w:t>：0755-82686519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AC21A7"/>
    <w:rsid w:val="00014085"/>
    <w:rsid w:val="00017B80"/>
    <w:rsid w:val="00030178"/>
    <w:rsid w:val="00043D38"/>
    <w:rsid w:val="00045FC0"/>
    <w:rsid w:val="00050954"/>
    <w:rsid w:val="0006108C"/>
    <w:rsid w:val="00063F03"/>
    <w:rsid w:val="000644BC"/>
    <w:rsid w:val="00072532"/>
    <w:rsid w:val="00085753"/>
    <w:rsid w:val="00085B6E"/>
    <w:rsid w:val="000928A2"/>
    <w:rsid w:val="00092979"/>
    <w:rsid w:val="000931B7"/>
    <w:rsid w:val="000A0D7B"/>
    <w:rsid w:val="000E587F"/>
    <w:rsid w:val="00100226"/>
    <w:rsid w:val="0010360F"/>
    <w:rsid w:val="00110132"/>
    <w:rsid w:val="001319BA"/>
    <w:rsid w:val="00134855"/>
    <w:rsid w:val="00137D1B"/>
    <w:rsid w:val="00145CDC"/>
    <w:rsid w:val="00175FE4"/>
    <w:rsid w:val="00181EC7"/>
    <w:rsid w:val="001831E0"/>
    <w:rsid w:val="00190938"/>
    <w:rsid w:val="00193089"/>
    <w:rsid w:val="001B3B19"/>
    <w:rsid w:val="001C5EA8"/>
    <w:rsid w:val="001E05CA"/>
    <w:rsid w:val="001E0BBA"/>
    <w:rsid w:val="001E223B"/>
    <w:rsid w:val="001E6E87"/>
    <w:rsid w:val="001F0962"/>
    <w:rsid w:val="001F4E97"/>
    <w:rsid w:val="00200F90"/>
    <w:rsid w:val="0021199F"/>
    <w:rsid w:val="00216FB4"/>
    <w:rsid w:val="00224A30"/>
    <w:rsid w:val="0023156D"/>
    <w:rsid w:val="0024777F"/>
    <w:rsid w:val="002519BD"/>
    <w:rsid w:val="002630F9"/>
    <w:rsid w:val="00266127"/>
    <w:rsid w:val="00266CBD"/>
    <w:rsid w:val="002708AF"/>
    <w:rsid w:val="0028287B"/>
    <w:rsid w:val="00286F87"/>
    <w:rsid w:val="0029210C"/>
    <w:rsid w:val="002A70EC"/>
    <w:rsid w:val="002B0069"/>
    <w:rsid w:val="002E4F75"/>
    <w:rsid w:val="002E59C3"/>
    <w:rsid w:val="002E7055"/>
    <w:rsid w:val="002F0F50"/>
    <w:rsid w:val="002F137F"/>
    <w:rsid w:val="00301DB0"/>
    <w:rsid w:val="003259DB"/>
    <w:rsid w:val="00327D24"/>
    <w:rsid w:val="00335625"/>
    <w:rsid w:val="00355EA8"/>
    <w:rsid w:val="003835C0"/>
    <w:rsid w:val="003A14AC"/>
    <w:rsid w:val="003A1E64"/>
    <w:rsid w:val="003A6DA4"/>
    <w:rsid w:val="003A7A40"/>
    <w:rsid w:val="003B6ABF"/>
    <w:rsid w:val="003C4E58"/>
    <w:rsid w:val="003E5F9C"/>
    <w:rsid w:val="003E6B91"/>
    <w:rsid w:val="004130DF"/>
    <w:rsid w:val="00424B82"/>
    <w:rsid w:val="00427BD6"/>
    <w:rsid w:val="00430FB1"/>
    <w:rsid w:val="00435CC7"/>
    <w:rsid w:val="00450305"/>
    <w:rsid w:val="00474D21"/>
    <w:rsid w:val="00497456"/>
    <w:rsid w:val="004A0CFA"/>
    <w:rsid w:val="004A36C5"/>
    <w:rsid w:val="004A3B9C"/>
    <w:rsid w:val="004B4B81"/>
    <w:rsid w:val="004C26F5"/>
    <w:rsid w:val="004C2921"/>
    <w:rsid w:val="004C3DCB"/>
    <w:rsid w:val="004D0089"/>
    <w:rsid w:val="004D0A45"/>
    <w:rsid w:val="004D31C8"/>
    <w:rsid w:val="004F787A"/>
    <w:rsid w:val="0051293D"/>
    <w:rsid w:val="0052049B"/>
    <w:rsid w:val="005270EC"/>
    <w:rsid w:val="0053581E"/>
    <w:rsid w:val="00540333"/>
    <w:rsid w:val="00556D40"/>
    <w:rsid w:val="00570273"/>
    <w:rsid w:val="00572928"/>
    <w:rsid w:val="005841E7"/>
    <w:rsid w:val="0058797A"/>
    <w:rsid w:val="005A4E7D"/>
    <w:rsid w:val="005B2CAD"/>
    <w:rsid w:val="005C5DF3"/>
    <w:rsid w:val="005D111F"/>
    <w:rsid w:val="005D2F17"/>
    <w:rsid w:val="005D545C"/>
    <w:rsid w:val="005E48A1"/>
    <w:rsid w:val="006064AD"/>
    <w:rsid w:val="006119A2"/>
    <w:rsid w:val="00617009"/>
    <w:rsid w:val="00620074"/>
    <w:rsid w:val="00624409"/>
    <w:rsid w:val="00626798"/>
    <w:rsid w:val="006307F3"/>
    <w:rsid w:val="00636645"/>
    <w:rsid w:val="00636EF9"/>
    <w:rsid w:val="00637C91"/>
    <w:rsid w:val="0064273B"/>
    <w:rsid w:val="0065057E"/>
    <w:rsid w:val="00675B6F"/>
    <w:rsid w:val="00677CB3"/>
    <w:rsid w:val="006B6941"/>
    <w:rsid w:val="006C591B"/>
    <w:rsid w:val="006D0046"/>
    <w:rsid w:val="006D58F8"/>
    <w:rsid w:val="006D7A7C"/>
    <w:rsid w:val="006E4219"/>
    <w:rsid w:val="006E6130"/>
    <w:rsid w:val="006F7507"/>
    <w:rsid w:val="007042C4"/>
    <w:rsid w:val="0070673D"/>
    <w:rsid w:val="00732366"/>
    <w:rsid w:val="00737517"/>
    <w:rsid w:val="00745358"/>
    <w:rsid w:val="00751B97"/>
    <w:rsid w:val="007735C1"/>
    <w:rsid w:val="0078045F"/>
    <w:rsid w:val="00780EDC"/>
    <w:rsid w:val="00783A3C"/>
    <w:rsid w:val="00786E37"/>
    <w:rsid w:val="00795463"/>
    <w:rsid w:val="007B61BB"/>
    <w:rsid w:val="007C2468"/>
    <w:rsid w:val="007D0A68"/>
    <w:rsid w:val="007D334A"/>
    <w:rsid w:val="007D4644"/>
    <w:rsid w:val="007E1021"/>
    <w:rsid w:val="007F31B4"/>
    <w:rsid w:val="00832D91"/>
    <w:rsid w:val="00846461"/>
    <w:rsid w:val="00881B60"/>
    <w:rsid w:val="008A323A"/>
    <w:rsid w:val="008A47A3"/>
    <w:rsid w:val="008B2BF9"/>
    <w:rsid w:val="008E08EE"/>
    <w:rsid w:val="008E4E5D"/>
    <w:rsid w:val="008F18AE"/>
    <w:rsid w:val="008F70BA"/>
    <w:rsid w:val="00910210"/>
    <w:rsid w:val="00931256"/>
    <w:rsid w:val="00931427"/>
    <w:rsid w:val="009368C4"/>
    <w:rsid w:val="00971571"/>
    <w:rsid w:val="009724A6"/>
    <w:rsid w:val="00972639"/>
    <w:rsid w:val="00983CD2"/>
    <w:rsid w:val="00984AAF"/>
    <w:rsid w:val="009A19AF"/>
    <w:rsid w:val="009E10E7"/>
    <w:rsid w:val="009E1D32"/>
    <w:rsid w:val="009E73B9"/>
    <w:rsid w:val="009F181C"/>
    <w:rsid w:val="009F2AB2"/>
    <w:rsid w:val="009F7175"/>
    <w:rsid w:val="00A11F36"/>
    <w:rsid w:val="00A1540C"/>
    <w:rsid w:val="00A2297B"/>
    <w:rsid w:val="00A3645B"/>
    <w:rsid w:val="00A36FD9"/>
    <w:rsid w:val="00A456D3"/>
    <w:rsid w:val="00A45F55"/>
    <w:rsid w:val="00A515B2"/>
    <w:rsid w:val="00A57886"/>
    <w:rsid w:val="00A60A07"/>
    <w:rsid w:val="00A6565A"/>
    <w:rsid w:val="00A72A9F"/>
    <w:rsid w:val="00AA37EB"/>
    <w:rsid w:val="00AC2B37"/>
    <w:rsid w:val="00AE477E"/>
    <w:rsid w:val="00AF23F2"/>
    <w:rsid w:val="00AF3E95"/>
    <w:rsid w:val="00B657EB"/>
    <w:rsid w:val="00B6708A"/>
    <w:rsid w:val="00B8356B"/>
    <w:rsid w:val="00B91174"/>
    <w:rsid w:val="00B9286D"/>
    <w:rsid w:val="00BC5F81"/>
    <w:rsid w:val="00BC73E7"/>
    <w:rsid w:val="00BD3086"/>
    <w:rsid w:val="00BE33E6"/>
    <w:rsid w:val="00BE60ED"/>
    <w:rsid w:val="00BE6E86"/>
    <w:rsid w:val="00C111D4"/>
    <w:rsid w:val="00C267D3"/>
    <w:rsid w:val="00C449C0"/>
    <w:rsid w:val="00C511B4"/>
    <w:rsid w:val="00C61DC2"/>
    <w:rsid w:val="00C7117E"/>
    <w:rsid w:val="00C83263"/>
    <w:rsid w:val="00C86E91"/>
    <w:rsid w:val="00C942EE"/>
    <w:rsid w:val="00C94A59"/>
    <w:rsid w:val="00C95C22"/>
    <w:rsid w:val="00CA30BF"/>
    <w:rsid w:val="00CD17EB"/>
    <w:rsid w:val="00CF119A"/>
    <w:rsid w:val="00CF6EA2"/>
    <w:rsid w:val="00D04D03"/>
    <w:rsid w:val="00D149EC"/>
    <w:rsid w:val="00D30803"/>
    <w:rsid w:val="00D34D83"/>
    <w:rsid w:val="00D46CD4"/>
    <w:rsid w:val="00D55ECF"/>
    <w:rsid w:val="00D63C3A"/>
    <w:rsid w:val="00D646BD"/>
    <w:rsid w:val="00D745E2"/>
    <w:rsid w:val="00D81C38"/>
    <w:rsid w:val="00D8720A"/>
    <w:rsid w:val="00D9614E"/>
    <w:rsid w:val="00DA704C"/>
    <w:rsid w:val="00DB3788"/>
    <w:rsid w:val="00DB3BEE"/>
    <w:rsid w:val="00DB4640"/>
    <w:rsid w:val="00DC4DAB"/>
    <w:rsid w:val="00DD3528"/>
    <w:rsid w:val="00DD3D39"/>
    <w:rsid w:val="00DD7719"/>
    <w:rsid w:val="00DF27DA"/>
    <w:rsid w:val="00E11623"/>
    <w:rsid w:val="00E13393"/>
    <w:rsid w:val="00E1339E"/>
    <w:rsid w:val="00E16F0C"/>
    <w:rsid w:val="00E34984"/>
    <w:rsid w:val="00E362DD"/>
    <w:rsid w:val="00E55727"/>
    <w:rsid w:val="00E756D1"/>
    <w:rsid w:val="00E92972"/>
    <w:rsid w:val="00EA0EC1"/>
    <w:rsid w:val="00EF6D8E"/>
    <w:rsid w:val="00EF7EC8"/>
    <w:rsid w:val="00F26C3A"/>
    <w:rsid w:val="00F50BB4"/>
    <w:rsid w:val="00F525B7"/>
    <w:rsid w:val="00F57CE2"/>
    <w:rsid w:val="00F66C0B"/>
    <w:rsid w:val="00F70617"/>
    <w:rsid w:val="00F74E78"/>
    <w:rsid w:val="00FA2BA4"/>
    <w:rsid w:val="00FA4AB8"/>
    <w:rsid w:val="00FC7A9D"/>
    <w:rsid w:val="00FD03D2"/>
    <w:rsid w:val="00FD08A9"/>
    <w:rsid w:val="00FE1E3C"/>
    <w:rsid w:val="00FE257E"/>
    <w:rsid w:val="01AC21A7"/>
    <w:rsid w:val="032869DB"/>
    <w:rsid w:val="0E57129F"/>
    <w:rsid w:val="363E2E5B"/>
    <w:rsid w:val="3AB968B9"/>
    <w:rsid w:val="4CA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qFormat/>
    <w:uiPriority w:val="0"/>
    <w:rPr>
      <w:b/>
      <w:bCs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link w:val="14"/>
    <w:qFormat/>
    <w:uiPriority w:val="0"/>
    <w:rPr>
      <w:rFonts w:ascii="宋体" w:hAnsi="Courier New" w:eastAsia="宋体"/>
      <w:spacing w:val="6"/>
      <w:kern w:val="0"/>
      <w:sz w:val="20"/>
      <w:szCs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styleId="12">
    <w:name w:val="footnote reference"/>
    <w:basedOn w:val="9"/>
    <w:qFormat/>
    <w:uiPriority w:val="0"/>
    <w:rPr>
      <w:vertAlign w:val="superscript"/>
    </w:rPr>
  </w:style>
  <w:style w:type="character" w:customStyle="1" w:styleId="14">
    <w:name w:val="纯文本 Char"/>
    <w:link w:val="4"/>
    <w:qFormat/>
    <w:uiPriority w:val="0"/>
    <w:rPr>
      <w:rFonts w:ascii="宋体" w:hAnsi="Courier New" w:eastAsia="宋体"/>
      <w:spacing w:val="6"/>
      <w:szCs w:val="21"/>
    </w:rPr>
  </w:style>
  <w:style w:type="character" w:customStyle="1" w:styleId="15">
    <w:name w:val="纯文本 Char1"/>
    <w:basedOn w:val="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2"/>
    <w:qFormat/>
    <w:uiPriority w:val="0"/>
    <w:rPr>
      <w:b/>
      <w:bCs/>
      <w:kern w:val="2"/>
      <w:sz w:val="21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脚注文本 Char"/>
    <w:basedOn w:val="9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F0DE0-156B-41EF-BF4B-730074088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</Company>
  <Pages>6</Pages>
  <Words>347</Words>
  <Characters>1981</Characters>
  <Lines>16</Lines>
  <Paragraphs>4</Paragraphs>
  <TotalTime>1</TotalTime>
  <ScaleCrop>false</ScaleCrop>
  <LinksUpToDate>false</LinksUpToDate>
  <CharactersWithSpaces>2324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2018-07-03T09:17:00Z</dcterms:created>
  <dc:creator>wy</dc:creator>
  <cp:lastModifiedBy>pc</cp:lastModifiedBy>
  <cp:lastPrinted>2018-07-03T09:03:00Z</cp:lastPrinted>
  <dcterms:modified xsi:type="dcterms:W3CDTF">2018-12-09T07:36:49Z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