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关于印发《政府会计准则第8号</w:t>
      </w:r>
      <w:r>
        <w:rPr>
          <w:rFonts w:hint="eastAsia" w:ascii="宋体" w:hAnsi="宋体" w:eastAsia="宋体" w:cs="宋体"/>
          <w:b/>
          <w:color w:val="185895"/>
          <w:sz w:val="36"/>
          <w:szCs w:val="36"/>
        </w:rPr>
        <w:br w:type="textWrapping"/>
      </w:r>
      <w:r>
        <w:rPr>
          <w:rFonts w:hint="eastAsia" w:ascii="宋体" w:hAnsi="宋体" w:eastAsia="宋体" w:cs="宋体"/>
          <w:b/>
          <w:color w:val="185895"/>
          <w:sz w:val="36"/>
          <w:szCs w:val="36"/>
        </w:rPr>
        <w:t>——负债》的通知</w:t>
      </w:r>
    </w:p>
    <w:p>
      <w:pPr>
        <w:jc w:val="both"/>
        <w:rPr>
          <w:rFonts w:hint="eastAsia" w:ascii="宋体" w:hAnsi="宋体" w:eastAsia="宋体" w:cs="宋体"/>
          <w:b/>
          <w:color w:val="185895"/>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bookmarkStart w:id="7" w:name="_GoBack"/>
      <w:bookmarkEnd w:id="7"/>
      <w:r>
        <w:rPr>
          <w:rFonts w:hint="eastAsia" w:ascii="宋体" w:hAnsi="宋体" w:eastAsia="宋体" w:cs="宋体"/>
          <w:sz w:val="24"/>
          <w:szCs w:val="24"/>
        </w:rPr>
        <w:t>财会〔2018〕31号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
        <w:rPr>
          <w:rFonts w:hint="eastAsia" w:ascii="宋体" w:hAnsi="宋体" w:eastAsia="宋体" w:cs="宋体"/>
          <w:sz w:val="24"/>
          <w:szCs w:val="24"/>
        </w:rPr>
        <w:t>党中央有关部门，国务院各部委、各直属机构，全国人大常委会办公厅，全国政协办公厅，高法院，高检院，各民主党派中央，有关人民团体，各省、自治区、直辖市、计划单列市财政厅（局），新疆生产建设兵团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rPr>
        <w:t>　　为了适应权责发生制政府综合财务报告制度改革需要，规范政府负债的确认、计量和相关信息的披露，提高会计信息质量，根据《政府会计准则——基本准则》，我部制定了《政府会计准则第8号——负债》，现予印发，自2019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8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执行中有何问题，请及时反馈我部。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80"/>
        <w:jc w:val="both"/>
        <w:rPr>
          <w:rFonts w:hint="eastAsia" w:asciiTheme="minorEastAsia" w:hAnsiTheme="minorEastAsia" w:eastAsiaTheme="minorEastAsia" w:cstheme="minorEastAsia"/>
          <w:b w:val="0"/>
          <w:bCs w:val="0"/>
          <w:color w:val="auto"/>
          <w:sz w:val="24"/>
          <w:szCs w:val="24"/>
        </w:rPr>
      </w:pPr>
    </w:p>
    <w:p>
      <w:pPr>
        <w:jc w:val="both"/>
        <w:rPr>
          <w:rFonts w:hint="eastAsia" w:asciiTheme="minorEastAsia" w:hAnsiTheme="minorEastAsia" w:eastAsiaTheme="minorEastAsia" w:cstheme="minorEastAsia"/>
          <w:b w:val="0"/>
          <w:bCs w:val="0"/>
          <w:color w:val="auto"/>
          <w:sz w:val="24"/>
          <w:szCs w:val="24"/>
          <w:lang w:eastAsia="zh-CN"/>
        </w:rPr>
      </w:pPr>
    </w:p>
    <w:p>
      <w:pPr>
        <w:ind w:firstLine="4800" w:firstLineChars="20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财政部</w:t>
      </w: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r>
        <w:rPr>
          <w:rFonts w:hint="eastAsia" w:ascii="宋体" w:hAnsi="宋体" w:eastAsia="宋体" w:cs="宋体"/>
          <w:sz w:val="24"/>
          <w:szCs w:val="24"/>
        </w:rPr>
        <w:t>2018年11月9日</w:t>
      </w: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jc w:val="center"/>
        <w:rPr>
          <w:rFonts w:ascii="华文中宋" w:hAnsi="华文中宋" w:eastAsia="华文中宋"/>
          <w:b/>
          <w:bCs/>
          <w:sz w:val="40"/>
          <w:szCs w:val="32"/>
        </w:rPr>
      </w:pPr>
      <w:r>
        <w:rPr>
          <w:rFonts w:ascii="华文中宋" w:hAnsi="华文中宋" w:eastAsia="华文中宋"/>
          <w:b/>
          <w:bCs/>
          <w:sz w:val="40"/>
          <w:szCs w:val="32"/>
        </w:rPr>
        <w:t>政府会计准则第</w:t>
      </w:r>
      <w:r>
        <w:rPr>
          <w:rFonts w:hint="eastAsia" w:ascii="华文中宋" w:hAnsi="华文中宋" w:eastAsia="华文中宋"/>
          <w:b/>
          <w:bCs/>
          <w:sz w:val="40"/>
          <w:szCs w:val="32"/>
        </w:rPr>
        <w:t>8</w:t>
      </w:r>
      <w:r>
        <w:rPr>
          <w:rFonts w:ascii="华文中宋" w:hAnsi="华文中宋" w:eastAsia="华文中宋"/>
          <w:b/>
          <w:bCs/>
          <w:sz w:val="40"/>
          <w:szCs w:val="32"/>
        </w:rPr>
        <w:t>号</w:t>
      </w:r>
      <w:r>
        <w:rPr>
          <w:rFonts w:hint="eastAsia" w:ascii="华文中宋" w:hAnsi="华文中宋" w:eastAsia="华文中宋"/>
          <w:b/>
          <w:bCs/>
          <w:sz w:val="40"/>
          <w:szCs w:val="32"/>
          <w:lang w:val="en-US" w:eastAsia="zh-CN"/>
        </w:rPr>
        <w:t>-</w:t>
      </w:r>
      <w:r>
        <w:rPr>
          <w:rFonts w:hint="eastAsia" w:ascii="华文中宋" w:hAnsi="华文中宋" w:eastAsia="华文中宋"/>
          <w:b/>
          <w:bCs/>
          <w:sz w:val="40"/>
          <w:szCs w:val="32"/>
        </w:rPr>
        <w:t>负债</w:t>
      </w:r>
    </w:p>
    <w:p>
      <w:pPr>
        <w:widowControl/>
        <w:jc w:val="left"/>
      </w:pPr>
    </w:p>
    <w:p>
      <w:pPr>
        <w:spacing w:before="312" w:beforeLines="100" w:after="312" w:afterLines="100"/>
        <w:jc w:val="center"/>
        <w:rPr>
          <w:rFonts w:hAnsi="黑体" w:eastAsia="黑体"/>
          <w:b/>
          <w:sz w:val="32"/>
          <w:szCs w:val="32"/>
        </w:rPr>
      </w:pPr>
      <w:r>
        <w:rPr>
          <w:rFonts w:hint="eastAsia" w:hAnsi="黑体" w:eastAsia="黑体"/>
          <w:b/>
          <w:sz w:val="32"/>
          <w:szCs w:val="32"/>
        </w:rPr>
        <w:t>第一章　总则</w:t>
      </w:r>
    </w:p>
    <w:p>
      <w:pPr>
        <w:pStyle w:val="9"/>
        <w:numPr>
          <w:ilvl w:val="0"/>
          <w:numId w:val="1"/>
        </w:numPr>
        <w:ind w:left="0" w:firstLine="643" w:firstLineChars="0"/>
        <w:rPr>
          <w:rFonts w:ascii="仿宋_GB2312" w:eastAsia="仿宋_GB2312"/>
          <w:b/>
          <w:sz w:val="32"/>
          <w:szCs w:val="32"/>
        </w:rPr>
      </w:pPr>
      <w:r>
        <w:rPr>
          <w:rFonts w:hint="eastAsia" w:ascii="仿宋_GB2312" w:eastAsia="仿宋_GB2312"/>
          <w:sz w:val="32"/>
          <w:szCs w:val="32"/>
        </w:rPr>
        <w:t>为了规范负债的确认、计量和相关信息的披露，根据《政府会计准则——基本准则》，制定本准则。</w:t>
      </w:r>
    </w:p>
    <w:p>
      <w:pPr>
        <w:pStyle w:val="9"/>
        <w:numPr>
          <w:ilvl w:val="0"/>
          <w:numId w:val="1"/>
        </w:numPr>
        <w:ind w:left="0" w:firstLine="643" w:firstLineChars="0"/>
        <w:rPr>
          <w:rFonts w:ascii="仿宋_GB2312" w:eastAsia="仿宋_GB2312"/>
          <w:sz w:val="32"/>
          <w:szCs w:val="32"/>
        </w:rPr>
      </w:pPr>
      <w:bookmarkStart w:id="0" w:name="_Ref510450503"/>
      <w:r>
        <w:rPr>
          <w:rFonts w:hint="eastAsia" w:ascii="仿宋_GB2312" w:eastAsia="仿宋_GB2312"/>
          <w:sz w:val="32"/>
          <w:szCs w:val="32"/>
        </w:rPr>
        <w:t>本准则所称负债，是指政府会计主体过去的经济业务或者事项形成的，预期会导致经济资源流出政府会计主体的现时义务。</w:t>
      </w:r>
      <w:bookmarkEnd w:id="0"/>
    </w:p>
    <w:p>
      <w:pPr>
        <w:ind w:firstLine="640" w:firstLineChars="200"/>
        <w:rPr>
          <w:rFonts w:ascii="仿宋_GB2312" w:eastAsia="仿宋_GB2312"/>
          <w:sz w:val="32"/>
          <w:szCs w:val="32"/>
        </w:rPr>
      </w:pPr>
      <w:r>
        <w:rPr>
          <w:rFonts w:hint="eastAsia" w:ascii="仿宋_GB2312" w:eastAsia="仿宋_GB2312"/>
          <w:sz w:val="32"/>
          <w:szCs w:val="32"/>
        </w:rPr>
        <w:t>现时义务，是指政府会计主体在现行条件下已承担的义务。未来发生的经济业务或者事项形成的义务不属于现时义务，不应当确认为负债。</w:t>
      </w:r>
    </w:p>
    <w:p>
      <w:pPr>
        <w:pStyle w:val="9"/>
        <w:numPr>
          <w:ilvl w:val="0"/>
          <w:numId w:val="1"/>
        </w:numPr>
        <w:ind w:left="0" w:firstLine="643" w:firstLineChars="0"/>
        <w:rPr>
          <w:rFonts w:ascii="仿宋_GB2312" w:eastAsia="仿宋_GB2312"/>
          <w:sz w:val="32"/>
          <w:szCs w:val="32"/>
        </w:rPr>
      </w:pPr>
      <w:bookmarkStart w:id="1" w:name="_Ref510163070"/>
      <w:r>
        <w:rPr>
          <w:rFonts w:hint="eastAsia" w:ascii="仿宋_GB2312" w:eastAsia="仿宋_GB2312"/>
          <w:sz w:val="32"/>
          <w:szCs w:val="32"/>
        </w:rPr>
        <w:t>符合本准则</w:t>
      </w:r>
      <w:r>
        <w:rPr>
          <w:rFonts w:ascii="仿宋_GB2312" w:eastAsia="仿宋_GB2312"/>
          <w:sz w:val="32"/>
          <w:szCs w:val="32"/>
        </w:rPr>
        <w:fldChar w:fldCharType="begin"/>
      </w:r>
      <w:r>
        <w:rPr>
          <w:rFonts w:hint="eastAsia" w:ascii="仿宋_GB2312" w:eastAsia="仿宋_GB2312"/>
          <w:sz w:val="32"/>
          <w:szCs w:val="32"/>
        </w:rPr>
        <w:instrText xml:space="preserve">REF _Ref510450503 \r \h</w:instrText>
      </w:r>
      <w:r>
        <w:rPr>
          <w:rFonts w:ascii="仿宋_GB2312" w:eastAsia="仿宋_GB2312"/>
          <w:sz w:val="32"/>
          <w:szCs w:val="32"/>
        </w:rPr>
        <w:fldChar w:fldCharType="separate"/>
      </w:r>
      <w:r>
        <w:rPr>
          <w:rFonts w:hint="eastAsia" w:ascii="仿宋_GB2312" w:eastAsia="仿宋_GB2312"/>
          <w:sz w:val="32"/>
          <w:szCs w:val="32"/>
        </w:rPr>
        <w:t>第二条</w:t>
      </w:r>
      <w:r>
        <w:rPr>
          <w:rFonts w:ascii="仿宋_GB2312" w:eastAsia="仿宋_GB2312"/>
          <w:sz w:val="32"/>
          <w:szCs w:val="32"/>
        </w:rPr>
        <w:fldChar w:fldCharType="end"/>
      </w:r>
      <w:r>
        <w:rPr>
          <w:rFonts w:hint="eastAsia" w:ascii="仿宋_GB2312" w:eastAsia="仿宋_GB2312"/>
          <w:sz w:val="32"/>
          <w:szCs w:val="32"/>
        </w:rPr>
        <w:t>规定的负债定义的义务，在同时满足以下条件时，确认为负债：</w:t>
      </w:r>
      <w:bookmarkEnd w:id="1"/>
    </w:p>
    <w:p>
      <w:pPr>
        <w:ind w:firstLine="640" w:firstLineChars="200"/>
        <w:rPr>
          <w:rFonts w:ascii="仿宋_GB2312" w:eastAsia="仿宋_GB2312"/>
          <w:bCs/>
          <w:kern w:val="0"/>
          <w:sz w:val="32"/>
          <w:szCs w:val="32"/>
        </w:rPr>
      </w:pPr>
      <w:r>
        <w:rPr>
          <w:rFonts w:hint="eastAsia" w:ascii="仿宋_GB2312" w:eastAsia="仿宋_GB2312"/>
          <w:bCs/>
          <w:kern w:val="0"/>
          <w:sz w:val="32"/>
          <w:szCs w:val="32"/>
        </w:rPr>
        <w:t>（一）履行该义务很可能导致含有服务潜力或者经济利益的经济资源流出政府会计主体；</w:t>
      </w:r>
    </w:p>
    <w:p>
      <w:pPr>
        <w:ind w:firstLine="640" w:firstLineChars="200"/>
        <w:rPr>
          <w:rFonts w:ascii="仿宋_GB2312" w:eastAsia="仿宋_GB2312"/>
          <w:bCs/>
          <w:kern w:val="0"/>
          <w:sz w:val="32"/>
          <w:szCs w:val="32"/>
        </w:rPr>
      </w:pPr>
      <w:r>
        <w:rPr>
          <w:rFonts w:hint="eastAsia" w:ascii="仿宋_GB2312" w:eastAsia="仿宋_GB2312"/>
          <w:bCs/>
          <w:kern w:val="0"/>
          <w:sz w:val="32"/>
          <w:szCs w:val="32"/>
        </w:rPr>
        <w:t>（二）该义务的金额能够可靠地计量。</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政府会计主体的负债按照流动性，分为流动负债和非流动负债。</w:t>
      </w:r>
    </w:p>
    <w:p>
      <w:pPr>
        <w:ind w:firstLine="640" w:firstLineChars="200"/>
        <w:rPr>
          <w:rFonts w:ascii="仿宋_GB2312" w:eastAsia="仿宋_GB2312"/>
          <w:sz w:val="32"/>
          <w:szCs w:val="32"/>
        </w:rPr>
      </w:pPr>
      <w:r>
        <w:rPr>
          <w:rFonts w:hint="eastAsia" w:ascii="仿宋_GB2312" w:eastAsia="仿宋_GB2312"/>
          <w:sz w:val="32"/>
          <w:szCs w:val="32"/>
        </w:rPr>
        <w:t>流动负债是指预计在1年内（含1年）偿还的负债，包括短期借款、应付短期政府债券、应付及预收款项、应缴款项等。</w:t>
      </w:r>
    </w:p>
    <w:p>
      <w:pPr>
        <w:ind w:firstLine="640" w:firstLineChars="200"/>
        <w:rPr>
          <w:rFonts w:ascii="仿宋_GB2312" w:eastAsia="仿宋_GB2312"/>
          <w:sz w:val="32"/>
          <w:szCs w:val="32"/>
        </w:rPr>
      </w:pPr>
      <w:r>
        <w:rPr>
          <w:rFonts w:hint="eastAsia" w:ascii="仿宋_GB2312" w:eastAsia="仿宋_GB2312"/>
          <w:sz w:val="32"/>
          <w:szCs w:val="32"/>
        </w:rPr>
        <w:t>非流动负债是指流动负债以外的负债，包括长期借款、长期应付款、应付长期政府债券等。</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政府会计主体的负债包括偿还时间与金额基本确定的负债和由或有事项形成的预计负债。</w:t>
      </w:r>
    </w:p>
    <w:p>
      <w:pPr>
        <w:ind w:firstLine="640" w:firstLineChars="200"/>
        <w:rPr>
          <w:rFonts w:ascii="仿宋_GB2312" w:eastAsia="仿宋_GB2312"/>
          <w:sz w:val="32"/>
          <w:szCs w:val="32"/>
        </w:rPr>
      </w:pPr>
      <w:r>
        <w:rPr>
          <w:rFonts w:hint="eastAsia" w:ascii="仿宋_GB2312" w:eastAsia="仿宋_GB2312"/>
          <w:sz w:val="32"/>
          <w:szCs w:val="32"/>
        </w:rPr>
        <w:t>偿还时间与金额基本确定的负债按政府会计主体的业务性质及风险程度，分为融资活动形成的举借债务及其应付利息、运营活动形成的应付及预收款项和暂收性负债。</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本准则规范政府会计主体负债的一般情况。其他政府会计准则对政府会计主体的特定负债做出专门规定的，从其规定。</w:t>
      </w:r>
    </w:p>
    <w:p>
      <w:pPr>
        <w:spacing w:before="312" w:beforeLines="100" w:after="312" w:afterLines="100"/>
        <w:jc w:val="center"/>
        <w:rPr>
          <w:rFonts w:hAnsi="黑体" w:eastAsia="黑体"/>
          <w:b/>
          <w:sz w:val="32"/>
          <w:szCs w:val="32"/>
        </w:rPr>
      </w:pPr>
      <w:r>
        <w:rPr>
          <w:rFonts w:hint="eastAsia" w:hAnsi="黑体" w:eastAsia="黑体"/>
          <w:b/>
          <w:sz w:val="32"/>
          <w:szCs w:val="32"/>
        </w:rPr>
        <w:t>第二章　举借债务</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举借债务是指政府会计主体通过融资活动借入的债务，包括</w:t>
      </w:r>
      <w:r>
        <w:rPr>
          <w:rFonts w:hint="eastAsia" w:ascii="仿宋_GB2312" w:eastAsia="仿宋_GB2312" w:cstheme="minorBidi"/>
          <w:sz w:val="32"/>
          <w:szCs w:val="32"/>
        </w:rPr>
        <w:t>政府举借的债务</w:t>
      </w:r>
      <w:r>
        <w:rPr>
          <w:rFonts w:hint="eastAsia" w:ascii="仿宋_GB2312" w:eastAsia="仿宋_GB2312"/>
          <w:sz w:val="32"/>
          <w:szCs w:val="32"/>
        </w:rPr>
        <w:t>以及其他政府会计主体</w:t>
      </w:r>
      <w:r>
        <w:rPr>
          <w:rFonts w:hint="eastAsia" w:ascii="仿宋_GB2312" w:eastAsia="仿宋_GB2312" w:cstheme="minorBidi"/>
          <w:sz w:val="32"/>
          <w:szCs w:val="32"/>
        </w:rPr>
        <w:t>借入的款项</w:t>
      </w:r>
      <w:r>
        <w:rPr>
          <w:rFonts w:hint="eastAsia" w:ascii="仿宋_GB2312" w:eastAsia="仿宋_GB2312"/>
          <w:sz w:val="32"/>
          <w:szCs w:val="32"/>
        </w:rPr>
        <w:t>。</w:t>
      </w:r>
    </w:p>
    <w:p>
      <w:pPr>
        <w:pStyle w:val="4"/>
        <w:widowControl/>
        <w:spacing w:beforeAutospacing="0" w:afterAutospacing="0"/>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政府</w:t>
      </w:r>
      <w:r>
        <w:rPr>
          <w:rFonts w:hint="eastAsia" w:ascii="仿宋_GB2312" w:eastAsia="仿宋_GB2312" w:cstheme="minorBidi"/>
          <w:sz w:val="32"/>
          <w:szCs w:val="32"/>
        </w:rPr>
        <w:t>举借的债务</w:t>
      </w:r>
      <w:r>
        <w:rPr>
          <w:rFonts w:hint="eastAsia" w:ascii="仿宋_GB2312" w:eastAsia="仿宋_GB2312" w:cstheme="minorBidi"/>
          <w:kern w:val="2"/>
          <w:sz w:val="32"/>
          <w:szCs w:val="32"/>
        </w:rPr>
        <w:t>包括政府发行的政府债券，向外国政府、国际经济组织等借入的款项，以及向上级政府借入转贷资金形成的借入转贷款。</w:t>
      </w:r>
    </w:p>
    <w:p>
      <w:pPr>
        <w:pStyle w:val="4"/>
        <w:widowControl/>
        <w:spacing w:beforeAutospacing="0" w:afterAutospacing="0"/>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其他政府会计主体</w:t>
      </w:r>
      <w:r>
        <w:rPr>
          <w:rFonts w:hint="eastAsia" w:ascii="仿宋_GB2312" w:eastAsia="仿宋_GB2312" w:cstheme="minorBidi"/>
          <w:sz w:val="32"/>
          <w:szCs w:val="32"/>
        </w:rPr>
        <w:t>借入的款项</w:t>
      </w:r>
      <w:r>
        <w:rPr>
          <w:rFonts w:hint="eastAsia" w:ascii="仿宋_GB2312" w:eastAsia="仿宋_GB2312" w:cstheme="minorBidi"/>
          <w:kern w:val="2"/>
          <w:sz w:val="32"/>
          <w:szCs w:val="32"/>
        </w:rPr>
        <w:t>是指除政府以外的其他政府会计主体从银行或其他金融机构等借入的款项。</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对于举借债务，政府会计主体应当在与债权人签订借款合同或协议并取得举借资金时确认为负债。</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举借债务初始确认为负债时，应当按照实际发生额计量。</w:t>
      </w:r>
    </w:p>
    <w:p>
      <w:pPr>
        <w:pStyle w:val="4"/>
        <w:widowControl/>
        <w:spacing w:beforeAutospacing="0" w:afterAutospacing="0"/>
        <w:ind w:firstLine="640" w:firstLineChars="200"/>
        <w:rPr>
          <w:rFonts w:ascii="仿宋_GB2312" w:eastAsia="仿宋_GB2312"/>
          <w:bCs/>
          <w:sz w:val="32"/>
          <w:szCs w:val="32"/>
        </w:rPr>
      </w:pPr>
      <w:r>
        <w:rPr>
          <w:rFonts w:hint="eastAsia" w:ascii="仿宋_GB2312" w:eastAsia="仿宋_GB2312"/>
          <w:bCs/>
          <w:sz w:val="32"/>
          <w:szCs w:val="32"/>
        </w:rPr>
        <w:t>对于借入款项，初始确认为负债时应当按照借款本金计量；借款本金与取得的借款资金的差额应当计入当期费用。</w:t>
      </w:r>
    </w:p>
    <w:p>
      <w:pPr>
        <w:pStyle w:val="4"/>
        <w:widowControl/>
        <w:spacing w:beforeAutospacing="0" w:afterAutospacing="0"/>
        <w:ind w:firstLine="640" w:firstLineChars="200"/>
        <w:rPr>
          <w:rFonts w:ascii="仿宋_GB2312" w:eastAsia="仿宋_GB2312"/>
          <w:bCs/>
          <w:sz w:val="32"/>
          <w:szCs w:val="32"/>
        </w:rPr>
      </w:pPr>
      <w:r>
        <w:rPr>
          <w:rFonts w:hint="eastAsia" w:ascii="仿宋_GB2312" w:eastAsia="仿宋_GB2312"/>
          <w:bCs/>
          <w:sz w:val="32"/>
          <w:szCs w:val="32"/>
        </w:rPr>
        <w:t>对于发行的政府债券，初始确认为负债时应当按照债券本金计量；债券本金与发行价款的差额应当计入当期费用。</w:t>
      </w:r>
    </w:p>
    <w:p>
      <w:pPr>
        <w:pStyle w:val="9"/>
        <w:numPr>
          <w:ilvl w:val="0"/>
          <w:numId w:val="1"/>
        </w:numPr>
        <w:ind w:left="0" w:firstLine="640" w:firstLineChars="0"/>
        <w:rPr>
          <w:rFonts w:ascii="仿宋_GB2312" w:eastAsia="仿宋_GB2312"/>
          <w:sz w:val="32"/>
          <w:szCs w:val="32"/>
        </w:rPr>
      </w:pPr>
      <w:r>
        <w:rPr>
          <w:rFonts w:hint="eastAsia" w:ascii="仿宋_GB2312" w:eastAsia="仿宋_GB2312"/>
          <w:sz w:val="32"/>
          <w:szCs w:val="32"/>
        </w:rPr>
        <w:t>政府会计主体应当按照借款本金（或债券本金）和合同或协议约定的利率（或债券票面利率）按期计提举借债务的利息。</w:t>
      </w:r>
    </w:p>
    <w:p>
      <w:pPr>
        <w:pStyle w:val="4"/>
        <w:widowControl/>
        <w:spacing w:beforeAutospacing="0" w:afterAutospacing="0"/>
        <w:ind w:firstLine="640" w:firstLineChars="200"/>
        <w:rPr>
          <w:rFonts w:ascii="仿宋_GB2312" w:eastAsia="仿宋_GB2312"/>
          <w:bCs/>
          <w:sz w:val="32"/>
          <w:szCs w:val="32"/>
        </w:rPr>
      </w:pPr>
      <w:r>
        <w:rPr>
          <w:rFonts w:hint="eastAsia" w:ascii="仿宋_GB2312" w:eastAsia="仿宋_GB2312"/>
          <w:bCs/>
          <w:sz w:val="32"/>
          <w:szCs w:val="32"/>
        </w:rPr>
        <w:t>对于属于流动负债的举借债务以及属于非流动负债的分期付息、一次还本的举借债务，应当将计算确定的应付未付利息确认为流动负债，计入应付利息；对于其他举借债务，应当将计算确定的应付未付利息确认为非流动负债，计入相关非流动负债的账面余额。</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政府会计主体应当按照本准则</w:t>
      </w:r>
      <w:r>
        <w:rPr>
          <w:rFonts w:ascii="仿宋_GB2312" w:eastAsia="仿宋_GB2312"/>
          <w:sz w:val="32"/>
          <w:szCs w:val="32"/>
        </w:rPr>
        <w:fldChar w:fldCharType="begin"/>
      </w:r>
      <w:r>
        <w:rPr>
          <w:rFonts w:hint="eastAsia" w:ascii="仿宋_GB2312" w:eastAsia="仿宋_GB2312"/>
          <w:sz w:val="32"/>
          <w:szCs w:val="32"/>
        </w:rPr>
        <w:instrText xml:space="preserve">REF _Ref510450529 \r \h</w:instrText>
      </w:r>
      <w:r>
        <w:rPr>
          <w:rFonts w:ascii="仿宋_GB2312" w:eastAsia="仿宋_GB2312"/>
          <w:sz w:val="32"/>
          <w:szCs w:val="32"/>
        </w:rPr>
        <w:fldChar w:fldCharType="separate"/>
      </w:r>
      <w:r>
        <w:rPr>
          <w:rFonts w:hint="eastAsia" w:ascii="仿宋_GB2312" w:eastAsia="仿宋_GB2312"/>
          <w:sz w:val="32"/>
          <w:szCs w:val="32"/>
        </w:rPr>
        <w:t>第十二条</w:t>
      </w:r>
      <w:r>
        <w:rPr>
          <w:rFonts w:ascii="仿宋_GB2312" w:eastAsia="仿宋_GB2312"/>
          <w:sz w:val="32"/>
          <w:szCs w:val="32"/>
        </w:rPr>
        <w:fldChar w:fldCharType="end"/>
      </w:r>
      <w:r>
        <w:rPr>
          <w:rFonts w:hint="eastAsia" w:ascii="仿宋_GB2312" w:eastAsia="仿宋_GB2312"/>
          <w:sz w:val="32"/>
          <w:szCs w:val="32"/>
        </w:rPr>
        <w:t>、</w:t>
      </w:r>
      <w:r>
        <w:rPr>
          <w:rFonts w:ascii="仿宋_GB2312" w:eastAsia="仿宋_GB2312"/>
          <w:sz w:val="32"/>
          <w:szCs w:val="32"/>
        </w:rPr>
        <w:fldChar w:fldCharType="begin"/>
      </w:r>
      <w:r>
        <w:rPr>
          <w:rFonts w:hint="eastAsia" w:ascii="仿宋_GB2312" w:eastAsia="仿宋_GB2312"/>
          <w:sz w:val="32"/>
          <w:szCs w:val="32"/>
        </w:rPr>
        <w:instrText xml:space="preserve">REF _Ref510450534 \r \h</w:instrText>
      </w:r>
      <w:r>
        <w:rPr>
          <w:rFonts w:ascii="仿宋_GB2312" w:eastAsia="仿宋_GB2312"/>
          <w:sz w:val="32"/>
          <w:szCs w:val="32"/>
        </w:rPr>
        <w:fldChar w:fldCharType="separate"/>
      </w:r>
      <w:r>
        <w:rPr>
          <w:rFonts w:hint="eastAsia" w:ascii="仿宋_GB2312" w:eastAsia="仿宋_GB2312"/>
          <w:sz w:val="32"/>
          <w:szCs w:val="32"/>
        </w:rPr>
        <w:t>第十三条</w:t>
      </w:r>
      <w:r>
        <w:rPr>
          <w:rFonts w:ascii="仿宋_GB2312" w:eastAsia="仿宋_GB2312"/>
          <w:sz w:val="32"/>
          <w:szCs w:val="32"/>
        </w:rPr>
        <w:fldChar w:fldCharType="end"/>
      </w:r>
      <w:r>
        <w:rPr>
          <w:rFonts w:hint="eastAsia" w:ascii="仿宋_GB2312" w:eastAsia="仿宋_GB2312"/>
          <w:sz w:val="32"/>
          <w:szCs w:val="32"/>
        </w:rPr>
        <w:t>的规定，将因举借债务发生的借款费用分别计入工程成本或当期费用。</w:t>
      </w:r>
    </w:p>
    <w:p>
      <w:pPr>
        <w:pStyle w:val="4"/>
        <w:widowControl/>
        <w:spacing w:beforeAutospacing="0" w:afterAutospacing="0"/>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借款费用，是指政府会计主体因举借债务而发生的利息及其他相关费用，包括借款利息、辅助费用以及因外币借款而发生的汇兑差额等。其中，辅助费用是指政府会计主体在举借债务过程中发生的手续费、佣金等费用。</w:t>
      </w:r>
    </w:p>
    <w:p>
      <w:pPr>
        <w:pStyle w:val="9"/>
        <w:numPr>
          <w:ilvl w:val="0"/>
          <w:numId w:val="1"/>
        </w:numPr>
        <w:ind w:left="0" w:firstLine="643" w:firstLineChars="0"/>
        <w:rPr>
          <w:rFonts w:ascii="仿宋_GB2312" w:eastAsia="仿宋_GB2312"/>
          <w:sz w:val="32"/>
          <w:szCs w:val="32"/>
        </w:rPr>
      </w:pPr>
      <w:bookmarkStart w:id="2" w:name="_Ref510450529"/>
      <w:r>
        <w:rPr>
          <w:rFonts w:hint="eastAsia" w:ascii="仿宋_GB2312" w:eastAsia="仿宋_GB2312" w:cstheme="minorBidi"/>
          <w:sz w:val="32"/>
          <w:szCs w:val="32"/>
        </w:rPr>
        <w:t>政府以外的其他</w:t>
      </w:r>
      <w:r>
        <w:rPr>
          <w:rFonts w:hint="eastAsia" w:ascii="仿宋_GB2312" w:eastAsia="仿宋_GB2312"/>
          <w:sz w:val="32"/>
          <w:szCs w:val="32"/>
        </w:rPr>
        <w:t>政府会计主体为购建固定资产等工程项目借入专门借款的，对于发生的专门借款费用，应当按照借款费用减去尚未动用的借款资金产生的利息收入后的金额，属于工程项目建设期间发生的，计入工程成本；不属于工程项目建设期间发生的，计入当期费用。</w:t>
      </w:r>
      <w:bookmarkEnd w:id="2"/>
    </w:p>
    <w:p>
      <w:pPr>
        <w:ind w:firstLine="640" w:firstLineChars="200"/>
        <w:rPr>
          <w:rFonts w:ascii="仿宋_GB2312" w:eastAsia="仿宋_GB2312"/>
          <w:bCs/>
          <w:sz w:val="32"/>
          <w:szCs w:val="32"/>
        </w:rPr>
      </w:pPr>
      <w:r>
        <w:rPr>
          <w:rFonts w:hint="eastAsia" w:ascii="仿宋_GB2312" w:eastAsia="仿宋_GB2312"/>
          <w:bCs/>
          <w:sz w:val="32"/>
          <w:szCs w:val="32"/>
        </w:rPr>
        <w:t>工程项目建设期间是指自工程项目开始建造起至交付使用时止的期间。</w:t>
      </w:r>
    </w:p>
    <w:p>
      <w:pPr>
        <w:ind w:firstLine="640" w:firstLineChars="200"/>
        <w:rPr>
          <w:rFonts w:ascii="仿宋_GB2312" w:eastAsia="仿宋_GB2312"/>
          <w:bCs/>
          <w:sz w:val="32"/>
          <w:szCs w:val="32"/>
        </w:rPr>
      </w:pPr>
      <w:r>
        <w:rPr>
          <w:rFonts w:hint="eastAsia" w:ascii="仿宋_GB2312" w:eastAsia="仿宋_GB2312"/>
          <w:bCs/>
          <w:sz w:val="32"/>
          <w:szCs w:val="32"/>
        </w:rPr>
        <w:t>工程项目建设期间发生非正常中断且中断时间连续超过3个月（含3个月）的，政府会计主体应当将非正常中断期间的借款费用计入当期费用。如果中断是使工程项目达到交付使用所必须的程序，则中断期间所发生的借款费用仍应计入工程成本。</w:t>
      </w:r>
    </w:p>
    <w:p>
      <w:pPr>
        <w:pStyle w:val="9"/>
        <w:numPr>
          <w:ilvl w:val="0"/>
          <w:numId w:val="1"/>
        </w:numPr>
        <w:ind w:left="0" w:firstLine="643" w:firstLineChars="0"/>
        <w:rPr>
          <w:rFonts w:ascii="仿宋_GB2312" w:eastAsia="仿宋_GB2312"/>
          <w:sz w:val="32"/>
          <w:szCs w:val="32"/>
        </w:rPr>
      </w:pPr>
      <w:bookmarkStart w:id="3" w:name="_Ref510450534"/>
      <w:r>
        <w:rPr>
          <w:rFonts w:hint="eastAsia" w:ascii="仿宋_GB2312" w:eastAsia="仿宋_GB2312"/>
          <w:sz w:val="32"/>
          <w:szCs w:val="32"/>
        </w:rPr>
        <w:t>政府会计主体因举借债务所发生的除本准则</w:t>
      </w:r>
      <w:r>
        <w:rPr>
          <w:rFonts w:ascii="仿宋_GB2312" w:eastAsia="仿宋_GB2312"/>
          <w:sz w:val="32"/>
          <w:szCs w:val="32"/>
        </w:rPr>
        <w:fldChar w:fldCharType="begin"/>
      </w:r>
      <w:r>
        <w:rPr>
          <w:rFonts w:hint="eastAsia" w:ascii="仿宋_GB2312" w:eastAsia="仿宋_GB2312"/>
          <w:sz w:val="32"/>
          <w:szCs w:val="32"/>
        </w:rPr>
        <w:instrText xml:space="preserve">REF _Ref510450529 \r \h</w:instrText>
      </w:r>
      <w:r>
        <w:rPr>
          <w:rFonts w:ascii="仿宋_GB2312" w:eastAsia="仿宋_GB2312"/>
          <w:sz w:val="32"/>
          <w:szCs w:val="32"/>
        </w:rPr>
        <w:fldChar w:fldCharType="separate"/>
      </w:r>
      <w:r>
        <w:rPr>
          <w:rFonts w:hint="eastAsia" w:ascii="仿宋_GB2312" w:eastAsia="仿宋_GB2312"/>
          <w:sz w:val="32"/>
          <w:szCs w:val="32"/>
        </w:rPr>
        <w:t>第十二条</w:t>
      </w:r>
      <w:r>
        <w:rPr>
          <w:rFonts w:ascii="仿宋_GB2312" w:eastAsia="仿宋_GB2312"/>
          <w:sz w:val="32"/>
          <w:szCs w:val="32"/>
        </w:rPr>
        <w:fldChar w:fldCharType="end"/>
      </w:r>
      <w:r>
        <w:rPr>
          <w:rFonts w:hint="eastAsia" w:ascii="仿宋_GB2312" w:eastAsia="仿宋_GB2312"/>
          <w:sz w:val="32"/>
          <w:szCs w:val="32"/>
        </w:rPr>
        <w:t>规定外的借款费用（包括</w:t>
      </w:r>
      <w:r>
        <w:rPr>
          <w:rFonts w:hint="eastAsia" w:ascii="仿宋_GB2312" w:eastAsia="仿宋_GB2312" w:cstheme="minorBidi"/>
          <w:sz w:val="32"/>
          <w:szCs w:val="32"/>
        </w:rPr>
        <w:t>政府举借的债务</w:t>
      </w:r>
      <w:r>
        <w:rPr>
          <w:rFonts w:hint="eastAsia" w:ascii="仿宋_GB2312" w:eastAsia="仿宋_GB2312"/>
          <w:sz w:val="32"/>
          <w:szCs w:val="32"/>
        </w:rPr>
        <w:t>和其他政府会计主体的非专门借款所发生的借款费用），应当计入当期费用。</w:t>
      </w:r>
      <w:bookmarkEnd w:id="3"/>
    </w:p>
    <w:p>
      <w:pPr>
        <w:pStyle w:val="9"/>
        <w:numPr>
          <w:ilvl w:val="0"/>
          <w:numId w:val="1"/>
        </w:numPr>
        <w:ind w:left="0" w:firstLine="640" w:firstLineChars="0"/>
        <w:rPr>
          <w:rFonts w:ascii="仿宋_GB2312" w:eastAsia="仿宋_GB2312"/>
          <w:bCs/>
          <w:sz w:val="32"/>
          <w:szCs w:val="32"/>
        </w:rPr>
      </w:pPr>
      <w:r>
        <w:rPr>
          <w:rFonts w:hint="eastAsia" w:ascii="仿宋_GB2312" w:eastAsia="仿宋_GB2312"/>
          <w:sz w:val="32"/>
          <w:szCs w:val="32"/>
        </w:rPr>
        <w:t>政府会计主体应当在偿还举借债务本息时，冲减相关负债的账面余额。</w:t>
      </w:r>
    </w:p>
    <w:p>
      <w:pPr>
        <w:spacing w:before="312" w:beforeLines="100" w:after="312" w:afterLines="100"/>
        <w:jc w:val="center"/>
        <w:rPr>
          <w:rFonts w:hAnsi="黑体" w:eastAsia="黑体"/>
          <w:b/>
          <w:sz w:val="32"/>
          <w:szCs w:val="32"/>
        </w:rPr>
      </w:pPr>
      <w:r>
        <w:rPr>
          <w:rFonts w:hint="eastAsia" w:hAnsi="黑体" w:eastAsia="黑体"/>
          <w:b/>
          <w:sz w:val="32"/>
          <w:szCs w:val="32"/>
        </w:rPr>
        <w:t>第三章　应付及预收款项</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应付及预收款项，是指政府会计主体在运营活动中形成的应当支付而尚未支付的款项及预先收到但尚未实现收入的款项，包括应付职工薪酬、应付账款、预收款项、应交税费、应付国库集中支付结余和其他应付未付款项。</w:t>
      </w:r>
    </w:p>
    <w:p>
      <w:pPr>
        <w:pStyle w:val="10"/>
        <w:ind w:firstLine="640" w:firstLineChars="200"/>
        <w:jc w:val="both"/>
        <w:rPr>
          <w:rFonts w:ascii="仿宋_GB2312" w:eastAsia="仿宋_GB2312"/>
          <w:sz w:val="32"/>
          <w:szCs w:val="32"/>
        </w:rPr>
      </w:pPr>
      <w:r>
        <w:rPr>
          <w:rFonts w:hint="eastAsia" w:ascii="仿宋_GB2312" w:eastAsia="仿宋_GB2312"/>
          <w:sz w:val="32"/>
          <w:szCs w:val="32"/>
        </w:rPr>
        <w:t>应付职工薪酬，是指政府会计主体为获得职工（含长期聘用人员）提供的服务而给予各种形式的报酬或因辞退等原因而给予职工补偿所形成的负债。职工薪酬包括工资、津贴补贴、奖金、社会保险费等。</w:t>
      </w:r>
    </w:p>
    <w:p>
      <w:pPr>
        <w:pStyle w:val="10"/>
        <w:ind w:firstLine="640" w:firstLineChars="200"/>
        <w:jc w:val="both"/>
        <w:rPr>
          <w:rFonts w:ascii="仿宋_GB2312" w:eastAsia="仿宋_GB2312"/>
          <w:sz w:val="32"/>
          <w:szCs w:val="32"/>
        </w:rPr>
      </w:pPr>
      <w:r>
        <w:rPr>
          <w:rFonts w:hint="eastAsia" w:ascii="仿宋_GB2312" w:eastAsia="仿宋_GB2312"/>
          <w:sz w:val="32"/>
          <w:szCs w:val="32"/>
        </w:rPr>
        <w:t>应付账款，是指政府会计主体因取得资产、接受劳务、开展工程建设等而形成的负债。</w:t>
      </w:r>
    </w:p>
    <w:p>
      <w:pPr>
        <w:pStyle w:val="10"/>
        <w:ind w:firstLine="640" w:firstLineChars="200"/>
        <w:jc w:val="both"/>
        <w:rPr>
          <w:rFonts w:ascii="仿宋_GB2312" w:eastAsia="仿宋_GB2312"/>
          <w:sz w:val="32"/>
          <w:szCs w:val="32"/>
        </w:rPr>
      </w:pPr>
      <w:r>
        <w:rPr>
          <w:rFonts w:hint="eastAsia" w:ascii="仿宋_GB2312" w:eastAsia="仿宋_GB2312"/>
          <w:sz w:val="32"/>
          <w:szCs w:val="32"/>
        </w:rPr>
        <w:t>预收款项，是指政府会计主体按照货物、服务合同或协议或者相关规定，向接受货物或服务的主体预先收款而形成的负债。</w:t>
      </w:r>
    </w:p>
    <w:p>
      <w:pPr>
        <w:pStyle w:val="10"/>
        <w:ind w:firstLine="640" w:firstLineChars="200"/>
        <w:jc w:val="both"/>
        <w:rPr>
          <w:rFonts w:ascii="仿宋_GB2312" w:eastAsia="仿宋_GB2312"/>
          <w:sz w:val="32"/>
          <w:szCs w:val="32"/>
        </w:rPr>
      </w:pPr>
      <w:r>
        <w:rPr>
          <w:rFonts w:hint="eastAsia" w:ascii="仿宋_GB2312" w:eastAsia="仿宋_GB2312"/>
          <w:sz w:val="32"/>
          <w:szCs w:val="32"/>
        </w:rPr>
        <w:t>应交税费，是指政府会计主体因发生应税事项导致承担纳税义务而形成的负债。</w:t>
      </w:r>
    </w:p>
    <w:p>
      <w:pPr>
        <w:pStyle w:val="10"/>
        <w:ind w:firstLine="640" w:firstLineChars="200"/>
        <w:jc w:val="both"/>
        <w:rPr>
          <w:rFonts w:ascii="仿宋_GB2312" w:eastAsia="仿宋_GB2312"/>
          <w:sz w:val="32"/>
          <w:szCs w:val="32"/>
        </w:rPr>
      </w:pPr>
      <w:r>
        <w:rPr>
          <w:rFonts w:hint="eastAsia" w:ascii="仿宋_GB2312" w:eastAsia="仿宋_GB2312"/>
          <w:sz w:val="32"/>
          <w:szCs w:val="32"/>
        </w:rPr>
        <w:t>应付国库集中支付结余，是指国库集中支付中，按照财政部门批复的部门预算，政府会计主体（政府财政）当年未支而需结转下一年度支付款项而形成的负债。</w:t>
      </w:r>
    </w:p>
    <w:p>
      <w:pPr>
        <w:pStyle w:val="10"/>
        <w:ind w:firstLine="640" w:firstLineChars="200"/>
        <w:jc w:val="both"/>
        <w:rPr>
          <w:rFonts w:ascii="仿宋_GB2312" w:eastAsia="仿宋_GB2312"/>
          <w:sz w:val="32"/>
          <w:szCs w:val="32"/>
        </w:rPr>
      </w:pPr>
      <w:r>
        <w:rPr>
          <w:rFonts w:hint="eastAsia" w:ascii="仿宋_GB2312" w:eastAsia="仿宋_GB2312"/>
          <w:sz w:val="32"/>
          <w:szCs w:val="32"/>
        </w:rPr>
        <w:t>其他应付未付款项，是指政府会计主体因有关政策明确要求其承担支出责任等而形成的应付未付款项。</w:t>
      </w:r>
    </w:p>
    <w:p>
      <w:pPr>
        <w:pStyle w:val="9"/>
        <w:numPr>
          <w:ilvl w:val="0"/>
          <w:numId w:val="1"/>
        </w:numPr>
        <w:ind w:left="0" w:firstLine="643" w:firstLineChars="0"/>
        <w:rPr>
          <w:rFonts w:ascii="仿宋_GB2312" w:eastAsia="仿宋_GB2312"/>
          <w:sz w:val="32"/>
          <w:szCs w:val="32"/>
        </w:rPr>
      </w:pPr>
      <w:bookmarkStart w:id="4" w:name="_Ref510106438"/>
      <w:r>
        <w:rPr>
          <w:rFonts w:hint="eastAsia" w:ascii="仿宋_GB2312" w:eastAsia="仿宋_GB2312"/>
          <w:sz w:val="32"/>
          <w:szCs w:val="32"/>
        </w:rPr>
        <w:t>除因辞退等原因给予职工的补偿外，政府会计主体应当在职工为其提供服务的会计期间，将应支付的职工薪酬确认为负债，除本条第二款规定外，计入当期费用。</w:t>
      </w:r>
    </w:p>
    <w:p>
      <w:pPr>
        <w:ind w:firstLine="640" w:firstLineChars="200"/>
        <w:rPr>
          <w:rFonts w:ascii="仿宋_GB2312" w:eastAsia="仿宋_GB2312"/>
          <w:sz w:val="32"/>
          <w:szCs w:val="32"/>
        </w:rPr>
      </w:pPr>
      <w:r>
        <w:rPr>
          <w:rFonts w:hint="eastAsia" w:ascii="仿宋_GB2312" w:eastAsia="仿宋_GB2312"/>
          <w:sz w:val="32"/>
          <w:szCs w:val="32"/>
        </w:rPr>
        <w:t>政府会计主体应当根据职工提供服务的受益对象，将下列职工薪酬分情况处理：</w:t>
      </w:r>
    </w:p>
    <w:bookmarkEnd w:id="4"/>
    <w:p>
      <w:pPr>
        <w:pStyle w:val="10"/>
        <w:ind w:firstLine="640" w:firstLineChars="200"/>
        <w:jc w:val="both"/>
        <w:rPr>
          <w:rFonts w:ascii="仿宋_GB2312" w:eastAsia="仿宋_GB2312"/>
          <w:sz w:val="32"/>
          <w:szCs w:val="32"/>
        </w:rPr>
      </w:pPr>
      <w:r>
        <w:rPr>
          <w:rFonts w:hint="eastAsia" w:ascii="仿宋_GB2312" w:eastAsia="仿宋_GB2312"/>
          <w:sz w:val="32"/>
          <w:szCs w:val="32"/>
        </w:rPr>
        <w:t>（一）应由自制物品负担的职工薪酬，计入自制物品成本。</w:t>
      </w:r>
    </w:p>
    <w:p>
      <w:pPr>
        <w:pStyle w:val="10"/>
        <w:ind w:firstLine="640" w:firstLineChars="200"/>
        <w:jc w:val="both"/>
        <w:rPr>
          <w:rFonts w:ascii="仿宋_GB2312" w:eastAsia="仿宋_GB2312"/>
          <w:sz w:val="32"/>
          <w:szCs w:val="32"/>
        </w:rPr>
      </w:pPr>
      <w:r>
        <w:rPr>
          <w:rFonts w:hint="eastAsia" w:ascii="仿宋_GB2312" w:eastAsia="仿宋_GB2312"/>
          <w:sz w:val="32"/>
          <w:szCs w:val="32"/>
        </w:rPr>
        <w:t>（二）应由工程项目负担的职工薪酬</w:t>
      </w:r>
      <w:r>
        <w:rPr>
          <w:rFonts w:ascii="仿宋_GB2312" w:eastAsia="仿宋_GB2312"/>
          <w:sz w:val="32"/>
          <w:szCs w:val="32"/>
        </w:rPr>
        <w:t>，</w:t>
      </w:r>
      <w:r>
        <w:rPr>
          <w:rFonts w:hint="eastAsia" w:ascii="仿宋_GB2312" w:eastAsia="仿宋_GB2312"/>
          <w:sz w:val="32"/>
          <w:szCs w:val="32"/>
        </w:rPr>
        <w:t>比照本准则第十二条有关借款费用的处理原则</w:t>
      </w:r>
      <w:r>
        <w:rPr>
          <w:rFonts w:ascii="仿宋_GB2312" w:eastAsia="仿宋_GB2312"/>
          <w:sz w:val="32"/>
          <w:szCs w:val="32"/>
        </w:rPr>
        <w:t>计入工程成本</w:t>
      </w:r>
      <w:r>
        <w:rPr>
          <w:rFonts w:hint="eastAsia" w:ascii="仿宋_GB2312" w:eastAsia="仿宋_GB2312"/>
          <w:sz w:val="32"/>
          <w:szCs w:val="32"/>
        </w:rPr>
        <w:t>或当期费用。</w:t>
      </w:r>
    </w:p>
    <w:p>
      <w:pPr>
        <w:pStyle w:val="10"/>
        <w:ind w:firstLine="640" w:firstLineChars="200"/>
        <w:jc w:val="both"/>
        <w:rPr>
          <w:rFonts w:ascii="仿宋_GB2312" w:eastAsia="仿宋_GB2312"/>
          <w:sz w:val="32"/>
          <w:szCs w:val="32"/>
        </w:rPr>
      </w:pPr>
      <w:r>
        <w:rPr>
          <w:rFonts w:hint="eastAsia" w:ascii="仿宋_GB2312" w:eastAsia="仿宋_GB2312"/>
          <w:sz w:val="32"/>
          <w:szCs w:val="32"/>
        </w:rPr>
        <w:t>（三）应由自行研发项目负担的职工薪酬</w:t>
      </w:r>
      <w:r>
        <w:rPr>
          <w:rFonts w:ascii="仿宋_GB2312" w:eastAsia="仿宋_GB2312"/>
          <w:sz w:val="32"/>
          <w:szCs w:val="32"/>
        </w:rPr>
        <w:t>，</w:t>
      </w:r>
      <w:r>
        <w:rPr>
          <w:rFonts w:hint="eastAsia" w:ascii="仿宋_GB2312" w:eastAsia="仿宋_GB2312"/>
          <w:sz w:val="32"/>
          <w:szCs w:val="32"/>
        </w:rPr>
        <w:t>在研究阶段</w:t>
      </w:r>
      <w:r>
        <w:rPr>
          <w:rFonts w:ascii="仿宋_GB2312" w:eastAsia="仿宋_GB2312"/>
          <w:sz w:val="32"/>
          <w:szCs w:val="32"/>
        </w:rPr>
        <w:t>发生的，计入当期</w:t>
      </w:r>
      <w:r>
        <w:rPr>
          <w:rFonts w:hint="eastAsia" w:ascii="仿宋_GB2312" w:eastAsia="仿宋_GB2312"/>
          <w:sz w:val="32"/>
          <w:szCs w:val="32"/>
        </w:rPr>
        <w:t>费用</w:t>
      </w:r>
      <w:r>
        <w:rPr>
          <w:rFonts w:ascii="仿宋_GB2312" w:eastAsia="仿宋_GB2312"/>
          <w:sz w:val="32"/>
          <w:szCs w:val="32"/>
        </w:rPr>
        <w:t>；</w:t>
      </w:r>
      <w:r>
        <w:rPr>
          <w:rFonts w:hint="eastAsia" w:ascii="仿宋_GB2312" w:eastAsia="仿宋_GB2312"/>
          <w:sz w:val="32"/>
          <w:szCs w:val="32"/>
        </w:rPr>
        <w:t>在开发阶段发生并且最终形成无形资产的，</w:t>
      </w:r>
      <w:r>
        <w:rPr>
          <w:rFonts w:ascii="仿宋_GB2312" w:eastAsia="仿宋_GB2312"/>
          <w:sz w:val="32"/>
          <w:szCs w:val="32"/>
        </w:rPr>
        <w:t>计入</w:t>
      </w:r>
      <w:r>
        <w:rPr>
          <w:rFonts w:hint="eastAsia" w:ascii="仿宋_GB2312" w:eastAsia="仿宋_GB2312"/>
          <w:sz w:val="32"/>
          <w:szCs w:val="32"/>
        </w:rPr>
        <w:t>无形资产</w:t>
      </w:r>
      <w:r>
        <w:rPr>
          <w:rFonts w:ascii="仿宋_GB2312" w:eastAsia="仿宋_GB2312"/>
          <w:sz w:val="32"/>
          <w:szCs w:val="32"/>
        </w:rPr>
        <w:t>成本。</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政府会计主体按照有关规定为职工缴纳的医疗保险费、养老保险费、职业年金等社会保险费和住房公积金，应当在职工为其提供服务的会计期间，根据有关规定加以计算并确认为负债，具体按照本准则</w:t>
      </w:r>
      <w:r>
        <w:rPr>
          <w:rFonts w:ascii="仿宋_GB2312" w:eastAsia="仿宋_GB2312"/>
          <w:sz w:val="32"/>
          <w:szCs w:val="32"/>
        </w:rPr>
        <w:fldChar w:fldCharType="begin"/>
      </w:r>
      <w:r>
        <w:rPr>
          <w:rFonts w:hint="eastAsia" w:ascii="仿宋_GB2312" w:eastAsia="仿宋_GB2312"/>
          <w:sz w:val="32"/>
          <w:szCs w:val="32"/>
        </w:rPr>
        <w:instrText xml:space="preserve">REF _Ref510106438 \r \h</w:instrText>
      </w:r>
      <w:r>
        <w:rPr>
          <w:rFonts w:ascii="仿宋_GB2312" w:eastAsia="仿宋_GB2312"/>
          <w:sz w:val="32"/>
          <w:szCs w:val="32"/>
        </w:rPr>
        <w:fldChar w:fldCharType="separate"/>
      </w:r>
      <w:r>
        <w:rPr>
          <w:rFonts w:hint="eastAsia" w:ascii="仿宋_GB2312" w:eastAsia="仿宋_GB2312"/>
          <w:sz w:val="32"/>
          <w:szCs w:val="32"/>
        </w:rPr>
        <w:t>第十六条</w:t>
      </w:r>
      <w:r>
        <w:rPr>
          <w:rFonts w:ascii="仿宋_GB2312" w:eastAsia="仿宋_GB2312"/>
          <w:sz w:val="32"/>
          <w:szCs w:val="32"/>
        </w:rPr>
        <w:fldChar w:fldCharType="end"/>
      </w:r>
      <w:r>
        <w:rPr>
          <w:rFonts w:hint="eastAsia" w:ascii="仿宋_GB2312" w:eastAsia="仿宋_GB2312"/>
          <w:sz w:val="32"/>
          <w:szCs w:val="32"/>
        </w:rPr>
        <w:t>的规定处理。</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政府会计主体因辞退等原因给予职工的补偿，应当于相关补偿金额报经批准时确认为负债，并计入当期费用。</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对于应付账款，政府会计主体应当在取得资产、接受劳务，或外包工程完成规定进度时，按照应付未付款项的金额予以确认。</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对于预收款项，政府会计主体应当在收到预收款项时，按照实际收到款项的金额予以确认。</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对于应交税费，政府会计主体应当在发生应税事项导致承担纳税义务时，按照税法等规定计算的应交税费金额予以确认。</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对于应付国库集中支付结余，政府会计主体（政府财政）应当在年末，按照国库集中支付预算指标数大于国库资金实际支付数的差额予以确认。</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对于其他应付未付款项，政府会计主体应当在</w:t>
      </w:r>
      <w:r>
        <w:rPr>
          <w:rFonts w:hint="eastAsia" w:ascii="仿宋_GB2312" w:hAnsi="宋体" w:eastAsia="仿宋_GB2312" w:cs="宋体"/>
          <w:sz w:val="32"/>
          <w:szCs w:val="32"/>
        </w:rPr>
        <w:t>有关政策已明确其承担支出责任，或者其他情况下相关义务满足负债的定义和确认条件时，按照确定应承担的负债金额予以确认。</w:t>
      </w:r>
    </w:p>
    <w:p>
      <w:pPr>
        <w:pStyle w:val="9"/>
        <w:numPr>
          <w:ilvl w:val="0"/>
          <w:numId w:val="1"/>
        </w:numPr>
        <w:ind w:left="0" w:firstLine="640" w:firstLineChars="0"/>
        <w:rPr>
          <w:rFonts w:ascii="仿宋_GB2312" w:eastAsia="仿宋_GB2312"/>
          <w:bCs/>
          <w:sz w:val="32"/>
          <w:szCs w:val="32"/>
        </w:rPr>
      </w:pPr>
      <w:r>
        <w:rPr>
          <w:rFonts w:hint="eastAsia" w:ascii="仿宋_GB2312" w:eastAsia="仿宋_GB2312"/>
          <w:sz w:val="32"/>
          <w:szCs w:val="32"/>
        </w:rPr>
        <w:t>政府会计主体应当在支付应付款项或将预收款项确认为收入时，冲减相关负债的账面余额。</w:t>
      </w:r>
    </w:p>
    <w:p>
      <w:pPr>
        <w:spacing w:before="312" w:beforeLines="100" w:after="312" w:afterLines="100"/>
        <w:jc w:val="center"/>
        <w:rPr>
          <w:rFonts w:hAnsi="黑体" w:eastAsia="黑体"/>
          <w:b/>
          <w:sz w:val="32"/>
          <w:szCs w:val="32"/>
        </w:rPr>
      </w:pPr>
      <w:r>
        <w:rPr>
          <w:rFonts w:hint="eastAsia" w:hAnsi="黑体" w:eastAsia="黑体"/>
          <w:b/>
          <w:sz w:val="32"/>
          <w:szCs w:val="32"/>
        </w:rPr>
        <w:t>第四章　暂收性负债</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暂收性负债是指政府会计主体暂时收取，随后应做上缴、退回、转拨等处理的款项。暂收性负债主要包括应缴财政款和其他暂收款项。</w:t>
      </w:r>
    </w:p>
    <w:p>
      <w:pPr>
        <w:ind w:firstLine="640" w:firstLineChars="200"/>
        <w:rPr>
          <w:rFonts w:ascii="仿宋_GB2312" w:eastAsia="仿宋_GB2312"/>
          <w:bCs/>
          <w:sz w:val="32"/>
          <w:szCs w:val="32"/>
        </w:rPr>
      </w:pPr>
      <w:r>
        <w:rPr>
          <w:rFonts w:hint="eastAsia" w:ascii="仿宋_GB2312" w:eastAsia="仿宋_GB2312"/>
          <w:bCs/>
          <w:sz w:val="32"/>
          <w:szCs w:val="32"/>
        </w:rPr>
        <w:t>应缴财政款，是指政府会计主体暂时收取、按规定应当上缴国库或财政专户的款项而形成的负债。</w:t>
      </w:r>
    </w:p>
    <w:p>
      <w:pPr>
        <w:ind w:firstLine="640" w:firstLineChars="200"/>
        <w:rPr>
          <w:rFonts w:ascii="仿宋_GB2312" w:eastAsia="仿宋_GB2312"/>
          <w:bCs/>
          <w:sz w:val="32"/>
          <w:szCs w:val="32"/>
        </w:rPr>
      </w:pPr>
      <w:r>
        <w:rPr>
          <w:rFonts w:hint="eastAsia" w:ascii="仿宋_GB2312" w:eastAsia="仿宋_GB2312"/>
          <w:bCs/>
          <w:sz w:val="32"/>
          <w:szCs w:val="32"/>
        </w:rPr>
        <w:t>其他暂收款项，是指除应缴财政款以外的其他暂收性负债，包括政府会计主体暂时收取，随后应退还给其他方的押金或保证金、随后应转付给其他方的转拨款等款项。</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对于应缴财政款，政府会计主体通常应当在实际收到相关款项时，按照相关规定计算确定的上缴金额予以确认。</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对于其他暂收款项，政府会计主体应当在实际收到相关款项时，按照实际收到的金额予以确认。</w:t>
      </w:r>
    </w:p>
    <w:p>
      <w:pPr>
        <w:pStyle w:val="9"/>
        <w:numPr>
          <w:ilvl w:val="0"/>
          <w:numId w:val="1"/>
        </w:numPr>
        <w:ind w:left="0" w:firstLine="640"/>
        <w:rPr>
          <w:rFonts w:ascii="仿宋_GB2312" w:eastAsia="仿宋_GB2312"/>
          <w:bCs/>
          <w:sz w:val="32"/>
          <w:szCs w:val="32"/>
        </w:rPr>
      </w:pPr>
      <w:r>
        <w:rPr>
          <w:rFonts w:hint="eastAsia" w:ascii="仿宋_GB2312" w:eastAsia="仿宋_GB2312"/>
          <w:sz w:val="32"/>
          <w:szCs w:val="32"/>
        </w:rPr>
        <w:t>政府会计主体应当在上缴</w:t>
      </w:r>
      <w:r>
        <w:rPr>
          <w:rFonts w:hint="eastAsia" w:ascii="仿宋_GB2312" w:eastAsia="仿宋_GB2312"/>
          <w:bCs/>
          <w:sz w:val="32"/>
          <w:szCs w:val="32"/>
        </w:rPr>
        <w:t>应缴财政款</w:t>
      </w:r>
      <w:r>
        <w:rPr>
          <w:rFonts w:hint="eastAsia" w:ascii="仿宋_GB2312" w:eastAsia="仿宋_GB2312"/>
          <w:sz w:val="32"/>
          <w:szCs w:val="32"/>
        </w:rPr>
        <w:t>、退还、转付其他暂收款项等时，冲减</w:t>
      </w:r>
      <w:r>
        <w:rPr>
          <w:rFonts w:hint="eastAsia" w:ascii="仿宋_GB2312" w:eastAsia="仿宋_GB2312"/>
          <w:bCs/>
          <w:sz w:val="32"/>
          <w:szCs w:val="32"/>
        </w:rPr>
        <w:t>相关负债的</w:t>
      </w:r>
      <w:r>
        <w:rPr>
          <w:rFonts w:hint="eastAsia" w:ascii="仿宋_GB2312" w:eastAsia="仿宋_GB2312"/>
          <w:sz w:val="32"/>
          <w:szCs w:val="32"/>
        </w:rPr>
        <w:t>账面余额。</w:t>
      </w:r>
    </w:p>
    <w:p>
      <w:pPr>
        <w:spacing w:before="312" w:beforeLines="100" w:after="312" w:afterLines="100"/>
        <w:jc w:val="center"/>
        <w:rPr>
          <w:rFonts w:hAnsi="黑体" w:eastAsia="黑体"/>
          <w:b/>
          <w:sz w:val="32"/>
          <w:szCs w:val="32"/>
        </w:rPr>
      </w:pPr>
      <w:r>
        <w:rPr>
          <w:rFonts w:hint="eastAsia" w:hAnsi="黑体" w:eastAsia="黑体"/>
          <w:b/>
          <w:sz w:val="32"/>
          <w:szCs w:val="32"/>
        </w:rPr>
        <w:t>第五章　预计负债</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政府会计主体应当将与或有事项相关且</w:t>
      </w:r>
      <w:bookmarkStart w:id="5" w:name="_Ref510163295"/>
      <w:r>
        <w:rPr>
          <w:rFonts w:hint="eastAsia" w:ascii="仿宋_GB2312" w:eastAsia="仿宋_GB2312"/>
          <w:sz w:val="32"/>
          <w:szCs w:val="32"/>
        </w:rPr>
        <w:t>满足本准则</w:t>
      </w:r>
      <w:r>
        <w:rPr>
          <w:rFonts w:ascii="仿宋_GB2312" w:eastAsia="仿宋_GB2312"/>
          <w:sz w:val="32"/>
          <w:szCs w:val="32"/>
        </w:rPr>
        <w:fldChar w:fldCharType="begin"/>
      </w:r>
      <w:r>
        <w:rPr>
          <w:rFonts w:hint="eastAsia" w:ascii="仿宋_GB2312" w:eastAsia="仿宋_GB2312"/>
          <w:sz w:val="32"/>
          <w:szCs w:val="32"/>
        </w:rPr>
        <w:instrText xml:space="preserve">REF _Ref510163070 \r \h</w:instrText>
      </w:r>
      <w:r>
        <w:rPr>
          <w:rFonts w:ascii="仿宋_GB2312" w:eastAsia="仿宋_GB2312"/>
          <w:sz w:val="32"/>
          <w:szCs w:val="32"/>
        </w:rPr>
        <w:fldChar w:fldCharType="separate"/>
      </w:r>
      <w:r>
        <w:rPr>
          <w:rFonts w:hint="eastAsia" w:ascii="仿宋_GB2312" w:eastAsia="仿宋_GB2312"/>
          <w:sz w:val="32"/>
          <w:szCs w:val="32"/>
        </w:rPr>
        <w:t>第三条</w:t>
      </w:r>
      <w:r>
        <w:rPr>
          <w:rFonts w:ascii="仿宋_GB2312" w:eastAsia="仿宋_GB2312"/>
          <w:sz w:val="32"/>
          <w:szCs w:val="32"/>
        </w:rPr>
        <w:fldChar w:fldCharType="end"/>
      </w:r>
      <w:r>
        <w:rPr>
          <w:rFonts w:hint="eastAsia" w:ascii="仿宋_GB2312" w:eastAsia="仿宋_GB2312"/>
          <w:sz w:val="32"/>
          <w:szCs w:val="32"/>
        </w:rPr>
        <w:t>规定条件的现时义务确认为预计负债。</w:t>
      </w:r>
      <w:bookmarkEnd w:id="5"/>
    </w:p>
    <w:p>
      <w:pPr>
        <w:ind w:firstLine="640" w:firstLineChars="200"/>
        <w:rPr>
          <w:rFonts w:ascii="仿宋_GB2312" w:eastAsia="仿宋_GB2312"/>
          <w:bCs/>
          <w:sz w:val="32"/>
          <w:szCs w:val="32"/>
        </w:rPr>
      </w:pPr>
      <w:r>
        <w:rPr>
          <w:rFonts w:hint="eastAsia" w:ascii="仿宋_GB2312" w:eastAsia="仿宋_GB2312"/>
          <w:bCs/>
          <w:sz w:val="32"/>
          <w:szCs w:val="32"/>
        </w:rPr>
        <w:t>或有事项，是指由过去的经济业务或者事项形成的，其结果须由某些未来事项的发生或不发生才能决定的不确定事项。未来事项是否发生不在政府会计主体控制范围内。</w:t>
      </w:r>
    </w:p>
    <w:p>
      <w:pPr>
        <w:ind w:firstLine="640" w:firstLineChars="200"/>
        <w:rPr>
          <w:rFonts w:ascii="仿宋_GB2312" w:eastAsia="仿宋_GB2312"/>
          <w:bCs/>
          <w:sz w:val="32"/>
          <w:szCs w:val="32"/>
        </w:rPr>
      </w:pPr>
      <w:r>
        <w:rPr>
          <w:rFonts w:hint="eastAsia" w:ascii="仿宋_GB2312" w:eastAsia="仿宋_GB2312"/>
          <w:bCs/>
          <w:sz w:val="32"/>
          <w:szCs w:val="32"/>
        </w:rPr>
        <w:t>政府会计主体常见的或有事项主要包括：未决诉讼或未决仲裁、对外国政府或国际经济组织的贷款担保、承诺（补贴、代偿）、自然灾害或公共事件的救助等。</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预计负债应当按照履行相关现时义务所需支出的最佳估计数进行初始计量。</w:t>
      </w:r>
    </w:p>
    <w:p>
      <w:pPr>
        <w:ind w:firstLine="640" w:firstLineChars="200"/>
        <w:rPr>
          <w:rFonts w:ascii="仿宋_GB2312" w:eastAsia="仿宋_GB2312"/>
          <w:sz w:val="32"/>
          <w:szCs w:val="32"/>
        </w:rPr>
      </w:pPr>
      <w:r>
        <w:rPr>
          <w:rFonts w:hint="eastAsia" w:ascii="仿宋_GB2312" w:eastAsia="仿宋_GB2312"/>
          <w:sz w:val="32"/>
          <w:szCs w:val="32"/>
        </w:rPr>
        <w:t>所需支出存在一个连续范围，且该范围内各种结果发生的可能性相同的，最佳估计数应当按照该范围内的中间值确定。</w:t>
      </w:r>
    </w:p>
    <w:p>
      <w:pPr>
        <w:ind w:firstLine="640" w:firstLineChars="200"/>
        <w:rPr>
          <w:rFonts w:ascii="仿宋_GB2312" w:eastAsia="仿宋_GB2312"/>
          <w:sz w:val="32"/>
          <w:szCs w:val="32"/>
        </w:rPr>
      </w:pPr>
      <w:r>
        <w:rPr>
          <w:rFonts w:hint="eastAsia" w:ascii="仿宋_GB2312" w:eastAsia="仿宋_GB2312"/>
          <w:sz w:val="32"/>
          <w:szCs w:val="32"/>
        </w:rPr>
        <w:t>在其他情形下，最佳估计数应当分别下列情况确定：</w:t>
      </w:r>
    </w:p>
    <w:p>
      <w:pPr>
        <w:ind w:firstLine="640" w:firstLineChars="200"/>
        <w:rPr>
          <w:rFonts w:ascii="仿宋_GB2312" w:eastAsia="仿宋_GB2312"/>
          <w:sz w:val="32"/>
          <w:szCs w:val="32"/>
        </w:rPr>
      </w:pPr>
      <w:r>
        <w:rPr>
          <w:rFonts w:hint="eastAsia" w:ascii="仿宋_GB2312" w:eastAsia="仿宋_GB2312"/>
          <w:sz w:val="32"/>
          <w:szCs w:val="32"/>
        </w:rPr>
        <w:t>（一）或有事项涉及单个项目的，按照最可能发生金额确定。</w:t>
      </w:r>
    </w:p>
    <w:p>
      <w:pPr>
        <w:ind w:firstLine="640" w:firstLineChars="200"/>
        <w:rPr>
          <w:rFonts w:ascii="仿宋_GB2312" w:eastAsia="仿宋_GB2312"/>
          <w:sz w:val="32"/>
          <w:szCs w:val="32"/>
        </w:rPr>
      </w:pPr>
      <w:r>
        <w:rPr>
          <w:rFonts w:hint="eastAsia" w:ascii="仿宋_GB2312" w:eastAsia="仿宋_GB2312"/>
          <w:sz w:val="32"/>
          <w:szCs w:val="32"/>
        </w:rPr>
        <w:t>（二）或有事项涉及多个项目的，按照各种可能结果及相关概率计算确定。</w:t>
      </w:r>
    </w:p>
    <w:p>
      <w:pPr>
        <w:pStyle w:val="9"/>
        <w:numPr>
          <w:ilvl w:val="0"/>
          <w:numId w:val="1"/>
        </w:numPr>
        <w:ind w:left="0" w:firstLine="640" w:firstLineChars="0"/>
        <w:rPr>
          <w:rFonts w:ascii="仿宋_GB2312" w:eastAsia="仿宋_GB2312"/>
          <w:sz w:val="32"/>
          <w:szCs w:val="32"/>
        </w:rPr>
      </w:pPr>
      <w:r>
        <w:rPr>
          <w:rFonts w:hint="eastAsia" w:ascii="仿宋_GB2312" w:eastAsia="仿宋_GB2312"/>
          <w:sz w:val="32"/>
          <w:szCs w:val="32"/>
        </w:rPr>
        <w:t>政府会计主体在确定最佳估计数时，一般应当综合考虑与或有事项有关的风险、不确定性等因素。</w:t>
      </w:r>
    </w:p>
    <w:p>
      <w:pPr>
        <w:pStyle w:val="9"/>
        <w:numPr>
          <w:ilvl w:val="0"/>
          <w:numId w:val="1"/>
        </w:numPr>
        <w:ind w:left="0" w:firstLine="640"/>
        <w:rPr>
          <w:rFonts w:ascii="仿宋_GB2312" w:eastAsia="仿宋_GB2312"/>
          <w:sz w:val="32"/>
          <w:szCs w:val="32"/>
        </w:rPr>
      </w:pPr>
      <w:r>
        <w:rPr>
          <w:rFonts w:hint="eastAsia" w:ascii="仿宋_GB2312" w:eastAsia="仿宋_GB2312"/>
          <w:sz w:val="32"/>
          <w:szCs w:val="32"/>
        </w:rPr>
        <w:t>政府会计主体清偿预计负债所需支出预期全部或部分由第三方补偿的，补偿金额只有在基本确定能够收到时才能作为资产单独确认。确认的补偿金额不应当超过预计负债的账面余额。</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在报告日对预计负债的账面余额进行复核。有确凿证据表明该账面余额不能真实反映当前最佳估计数的，应当按照当前最佳估计数对该账面余额进行调整。履行该预计负债的相关义务不是很可能导致经济资源流出政府会计主体时，应当将该预计负债的账面余额予以转销。</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政府会计主体不应当将下列与或有事项相关的义务确认为负债，但应当按照本准则</w:t>
      </w:r>
      <w:r>
        <w:rPr>
          <w:rFonts w:ascii="仿宋_GB2312" w:eastAsia="仿宋_GB2312"/>
          <w:sz w:val="32"/>
          <w:szCs w:val="32"/>
        </w:rPr>
        <w:fldChar w:fldCharType="begin"/>
      </w:r>
      <w:r>
        <w:rPr>
          <w:rFonts w:hint="eastAsia" w:ascii="仿宋_GB2312" w:eastAsia="仿宋_GB2312"/>
          <w:sz w:val="32"/>
          <w:szCs w:val="32"/>
        </w:rPr>
        <w:instrText xml:space="preserve">REF _Ref510162424 \r \h</w:instrText>
      </w:r>
      <w:r>
        <w:rPr>
          <w:rFonts w:ascii="仿宋_GB2312" w:eastAsia="仿宋_GB2312"/>
          <w:sz w:val="32"/>
          <w:szCs w:val="32"/>
        </w:rPr>
        <w:fldChar w:fldCharType="separate"/>
      </w:r>
      <w:r>
        <w:rPr>
          <w:rFonts w:hint="eastAsia" w:ascii="仿宋_GB2312" w:eastAsia="仿宋_GB2312"/>
          <w:sz w:val="32"/>
          <w:szCs w:val="32"/>
        </w:rPr>
        <w:t>第三十六条</w:t>
      </w:r>
      <w:r>
        <w:rPr>
          <w:rFonts w:ascii="仿宋_GB2312" w:eastAsia="仿宋_GB2312"/>
          <w:sz w:val="32"/>
          <w:szCs w:val="32"/>
        </w:rPr>
        <w:fldChar w:fldCharType="end"/>
      </w:r>
      <w:r>
        <w:rPr>
          <w:rFonts w:hint="eastAsia" w:ascii="仿宋_GB2312" w:eastAsia="仿宋_GB2312"/>
          <w:sz w:val="32"/>
          <w:szCs w:val="32"/>
        </w:rPr>
        <w:t>规定对该类义务进行披露：</w:t>
      </w:r>
    </w:p>
    <w:p>
      <w:pPr>
        <w:ind w:firstLine="640" w:firstLineChars="200"/>
        <w:rPr>
          <w:rFonts w:ascii="仿宋_GB2312" w:eastAsia="仿宋_GB2312"/>
          <w:sz w:val="32"/>
          <w:szCs w:val="32"/>
        </w:rPr>
      </w:pPr>
      <w:r>
        <w:rPr>
          <w:rFonts w:hint="eastAsia" w:ascii="仿宋_GB2312" w:eastAsia="仿宋_GB2312"/>
          <w:sz w:val="32"/>
          <w:szCs w:val="32"/>
        </w:rPr>
        <w:t>（一）过去的经济业务或者事项形成的潜在义务，其存在须通过未来不确定事项的发生或不发生予以证实，未来事项是否能发生不在政府会计主体控制范围内。潜在义务是指结果取决于不确定未来事项的可能义务。</w:t>
      </w:r>
    </w:p>
    <w:p>
      <w:pPr>
        <w:ind w:firstLine="640" w:firstLineChars="200"/>
        <w:rPr>
          <w:rFonts w:ascii="仿宋_GB2312" w:eastAsia="仿宋_GB2312"/>
          <w:sz w:val="32"/>
          <w:szCs w:val="32"/>
        </w:rPr>
      </w:pPr>
      <w:r>
        <w:rPr>
          <w:rFonts w:hint="eastAsia" w:ascii="仿宋_GB2312" w:eastAsia="仿宋_GB2312"/>
          <w:sz w:val="32"/>
          <w:szCs w:val="32"/>
        </w:rPr>
        <w:t>（二）过去的经济业务或者事项形成的现时义务，履行该义务不是很可能导致经济资源流出政府会计主体或者该义务的金额不能可靠计量。</w:t>
      </w:r>
    </w:p>
    <w:p>
      <w:pPr>
        <w:spacing w:before="312" w:beforeLines="100" w:after="312" w:afterLines="100"/>
        <w:jc w:val="center"/>
        <w:rPr>
          <w:rFonts w:hAnsi="黑体" w:eastAsia="黑体"/>
          <w:b/>
          <w:sz w:val="32"/>
          <w:szCs w:val="32"/>
        </w:rPr>
      </w:pPr>
      <w:r>
        <w:rPr>
          <w:rFonts w:hint="eastAsia" w:hAnsi="黑体" w:eastAsia="黑体"/>
          <w:b/>
          <w:sz w:val="32"/>
          <w:szCs w:val="32"/>
        </w:rPr>
        <w:t>第六章　披露</w:t>
      </w:r>
    </w:p>
    <w:p>
      <w:pPr>
        <w:pStyle w:val="9"/>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政府会计主体应当在附注中披露与举借债务、应付及预收款项、暂收性负债和预计负债有关的下列信息：</w:t>
      </w:r>
    </w:p>
    <w:p>
      <w:pPr>
        <w:ind w:firstLine="640" w:firstLineChars="200"/>
        <w:rPr>
          <w:rFonts w:ascii="仿宋_GB2312" w:eastAsia="仿宋_GB2312"/>
          <w:sz w:val="32"/>
          <w:szCs w:val="32"/>
        </w:rPr>
      </w:pPr>
      <w:r>
        <w:rPr>
          <w:rFonts w:hint="eastAsia" w:ascii="仿宋_GB2312" w:eastAsia="仿宋_GB2312"/>
          <w:sz w:val="32"/>
          <w:szCs w:val="32"/>
        </w:rPr>
        <w:t>（一）各类负债的债权人、偿还期限、期初余额和期末余额。</w:t>
      </w:r>
    </w:p>
    <w:p>
      <w:pPr>
        <w:ind w:firstLine="640" w:firstLineChars="200"/>
        <w:rPr>
          <w:rFonts w:ascii="仿宋_GB2312" w:eastAsia="仿宋_GB2312"/>
          <w:sz w:val="32"/>
          <w:szCs w:val="32"/>
        </w:rPr>
      </w:pPr>
      <w:r>
        <w:rPr>
          <w:rFonts w:hint="eastAsia" w:ascii="仿宋_GB2312" w:eastAsia="仿宋_GB2312"/>
          <w:sz w:val="32"/>
          <w:szCs w:val="32"/>
        </w:rPr>
        <w:t>（二）逾期借款或者违约政府债券的债权人、借款（债券）金额、逾期时间、利率、逾期未偿还（违约）原因和预计还款时间等。</w:t>
      </w:r>
    </w:p>
    <w:p>
      <w:pPr>
        <w:ind w:firstLine="640" w:firstLineChars="200"/>
        <w:rPr>
          <w:rFonts w:ascii="仿宋_GB2312" w:eastAsia="仿宋_GB2312"/>
          <w:sz w:val="32"/>
          <w:szCs w:val="32"/>
        </w:rPr>
      </w:pPr>
      <w:r>
        <w:rPr>
          <w:rFonts w:hint="eastAsia" w:ascii="仿宋_GB2312" w:eastAsia="仿宋_GB2312"/>
          <w:sz w:val="32"/>
          <w:szCs w:val="32"/>
        </w:rPr>
        <w:t>（三）借款的担保方、担保方式、抵押物等。</w:t>
      </w:r>
    </w:p>
    <w:p>
      <w:pPr>
        <w:ind w:firstLine="640" w:firstLineChars="200"/>
        <w:rPr>
          <w:rFonts w:ascii="仿宋_GB2312" w:eastAsia="仿宋_GB2312"/>
          <w:sz w:val="32"/>
          <w:szCs w:val="32"/>
        </w:rPr>
      </w:pPr>
      <w:r>
        <w:rPr>
          <w:rFonts w:hint="eastAsia" w:ascii="仿宋_GB2312" w:eastAsia="仿宋_GB2312"/>
          <w:sz w:val="32"/>
          <w:szCs w:val="32"/>
        </w:rPr>
        <w:t>（四）预计负债的形成原因以及经济资源可能流出的时间、经济资源流出的时间和金额不确定的说明，预计负债有关的预期补偿金额和本期已确认的补偿金额。</w:t>
      </w:r>
    </w:p>
    <w:p>
      <w:pPr>
        <w:pStyle w:val="9"/>
        <w:numPr>
          <w:ilvl w:val="0"/>
          <w:numId w:val="1"/>
        </w:numPr>
        <w:ind w:left="0" w:firstLine="643" w:firstLineChars="0"/>
        <w:rPr>
          <w:rFonts w:ascii="仿宋_GB2312" w:eastAsia="仿宋_GB2312"/>
          <w:sz w:val="32"/>
          <w:szCs w:val="32"/>
        </w:rPr>
      </w:pPr>
      <w:bookmarkStart w:id="6" w:name="_Ref510162424"/>
      <w:r>
        <w:rPr>
          <w:rFonts w:hint="eastAsia" w:ascii="仿宋_GB2312" w:eastAsia="仿宋_GB2312"/>
          <w:sz w:val="32"/>
          <w:szCs w:val="32"/>
        </w:rPr>
        <w:t>政府会计主体应当在附注中披露本准则第三十四条规定的或有事项相关义务的下列信息：</w:t>
      </w:r>
      <w:bookmarkEnd w:id="6"/>
    </w:p>
    <w:p>
      <w:pPr>
        <w:ind w:firstLine="640" w:firstLineChars="200"/>
        <w:rPr>
          <w:rFonts w:ascii="仿宋_GB2312" w:eastAsia="仿宋_GB2312"/>
          <w:sz w:val="32"/>
          <w:szCs w:val="32"/>
        </w:rPr>
      </w:pPr>
      <w:r>
        <w:rPr>
          <w:rFonts w:hint="eastAsia" w:ascii="仿宋_GB2312" w:eastAsia="仿宋_GB2312"/>
          <w:sz w:val="32"/>
          <w:szCs w:val="32"/>
        </w:rPr>
        <w:t>（一）或有事项相关义务的种类及其形成原因。</w:t>
      </w:r>
    </w:p>
    <w:p>
      <w:pPr>
        <w:ind w:firstLine="640" w:firstLineChars="200"/>
        <w:rPr>
          <w:rFonts w:ascii="仿宋_GB2312" w:eastAsia="仿宋_GB2312"/>
          <w:sz w:val="32"/>
          <w:szCs w:val="32"/>
        </w:rPr>
      </w:pPr>
      <w:r>
        <w:rPr>
          <w:rFonts w:hint="eastAsia" w:ascii="仿宋_GB2312" w:eastAsia="仿宋_GB2312"/>
          <w:sz w:val="32"/>
          <w:szCs w:val="32"/>
        </w:rPr>
        <w:t>（二）经济资源流出时间和金额不确定的说明。</w:t>
      </w:r>
    </w:p>
    <w:p>
      <w:pPr>
        <w:ind w:firstLine="640" w:firstLineChars="200"/>
        <w:rPr>
          <w:rFonts w:ascii="仿宋_GB2312" w:eastAsia="仿宋_GB2312"/>
          <w:sz w:val="32"/>
          <w:szCs w:val="32"/>
        </w:rPr>
      </w:pPr>
      <w:r>
        <w:rPr>
          <w:rFonts w:hint="eastAsia" w:ascii="仿宋_GB2312" w:eastAsia="仿宋_GB2312"/>
          <w:sz w:val="32"/>
          <w:szCs w:val="32"/>
        </w:rPr>
        <w:t>（三）或有事项相关义务预计产生的财务影响，以及获得补偿的可能性；无法预计的，应当说明原因。</w:t>
      </w:r>
    </w:p>
    <w:p>
      <w:pPr>
        <w:spacing w:before="312" w:beforeLines="100" w:after="312" w:afterLines="100"/>
        <w:jc w:val="center"/>
        <w:rPr>
          <w:rFonts w:eastAsia="黑体"/>
          <w:b/>
          <w:sz w:val="32"/>
          <w:szCs w:val="32"/>
        </w:rPr>
      </w:pPr>
      <w:r>
        <w:rPr>
          <w:rFonts w:hAnsi="黑体" w:eastAsia="黑体"/>
          <w:b/>
          <w:sz w:val="32"/>
          <w:szCs w:val="32"/>
        </w:rPr>
        <w:t>第</w:t>
      </w:r>
      <w:r>
        <w:rPr>
          <w:rFonts w:hint="eastAsia" w:hAnsi="黑体" w:eastAsia="黑体"/>
          <w:b/>
          <w:sz w:val="32"/>
          <w:szCs w:val="32"/>
        </w:rPr>
        <w:t>七</w:t>
      </w:r>
      <w:r>
        <w:rPr>
          <w:rFonts w:hAnsi="黑体" w:eastAsia="黑体"/>
          <w:b/>
          <w:sz w:val="32"/>
          <w:szCs w:val="32"/>
        </w:rPr>
        <w:t>章</w:t>
      </w:r>
      <w:r>
        <w:rPr>
          <w:rFonts w:hint="eastAsia" w:hAnsi="黑体" w:eastAsia="黑体"/>
          <w:b/>
          <w:sz w:val="32"/>
          <w:szCs w:val="32"/>
        </w:rPr>
        <w:t>　</w:t>
      </w:r>
      <w:r>
        <w:rPr>
          <w:rFonts w:hAnsi="黑体" w:eastAsia="黑体"/>
          <w:b/>
          <w:sz w:val="32"/>
          <w:szCs w:val="32"/>
        </w:rPr>
        <w:t>附则</w:t>
      </w:r>
    </w:p>
    <w:p>
      <w:pPr>
        <w:pStyle w:val="9"/>
        <w:numPr>
          <w:ilvl w:val="0"/>
          <w:numId w:val="1"/>
        </w:numPr>
        <w:ind w:left="0" w:firstLine="640" w:firstLineChars="0"/>
        <w:rPr>
          <w:rFonts w:ascii="仿宋_GB2312" w:eastAsia="仿宋_GB2312"/>
          <w:sz w:val="32"/>
          <w:szCs w:val="32"/>
        </w:rPr>
      </w:pPr>
      <w:r>
        <w:rPr>
          <w:rFonts w:hint="eastAsia" w:ascii="仿宋_GB2312" w:eastAsia="仿宋_GB2312"/>
          <w:sz w:val="32"/>
          <w:szCs w:val="32"/>
        </w:rPr>
        <w:t>本准则自</w:t>
      </w:r>
      <w:r>
        <w:rPr>
          <w:rFonts w:ascii="仿宋_GB2312" w:eastAsia="仿宋_GB2312"/>
          <w:sz w:val="32"/>
          <w:szCs w:val="32"/>
        </w:rPr>
        <w:t>20</w:t>
      </w:r>
      <w:r>
        <w:rPr>
          <w:rFonts w:hint="eastAsia" w:ascii="仿宋_GB2312" w:eastAsia="仿宋_GB2312"/>
          <w:sz w:val="32"/>
          <w:szCs w:val="32"/>
        </w:rPr>
        <w:t>19年1月1日起施行。</w:t>
      </w: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p>
      <w:pPr>
        <w:ind w:firstLine="4320" w:firstLineChars="1800"/>
        <w:jc w:val="both"/>
        <w:rPr>
          <w:rFonts w:hint="eastAsia"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4429125</wp:posOffset>
          </wp:positionH>
          <wp:positionV relativeFrom="paragraph">
            <wp:posOffset>-360680</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mc:AlternateContent>
        <mc:Choice Requires="wps">
          <w:drawing>
            <wp:anchor distT="0" distB="0" distL="114300" distR="114300" simplePos="0" relativeHeight="251660288" behindDoc="0" locked="0" layoutInCell="1" allowOverlap="1">
              <wp:simplePos x="0" y="0"/>
              <wp:positionH relativeFrom="column">
                <wp:posOffset>5366385</wp:posOffset>
              </wp:positionH>
              <wp:positionV relativeFrom="paragraph">
                <wp:posOffset>-94615</wp:posOffset>
              </wp:positionV>
              <wp:extent cx="28575" cy="0"/>
              <wp:effectExtent l="0" t="0" r="0" b="0"/>
              <wp:wrapNone/>
              <wp:docPr id="2" name="直接连接符 2"/>
              <wp:cNvGraphicFramePr/>
              <a:graphic xmlns:a="http://schemas.openxmlformats.org/drawingml/2006/main">
                <a:graphicData uri="http://schemas.microsoft.com/office/word/2010/wordprocessingShape">
                  <wps:wsp>
                    <wps:cNvCnPr/>
                    <wps:spPr>
                      <a:xfrm>
                        <a:off x="6509385" y="458470"/>
                        <a:ext cx="285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22.55pt;margin-top:-7.45pt;height:0pt;width:2.25pt;z-index:251660288;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PWMjMreAQAAegMAAA4AAABkcnMvZTJvRG9jLnhtbK1T&#10;zW7UMBC+I/EOlu9s0rRp02izldpVuSBYCXiAWcdOLPlPttnsvgQvgMQNThy5920oj8HYG0qBGyKH&#10;yUxm/I2/mS/Lq71WZMd9kNZ09GRRUsINs700Q0ffvrl91lASIpgelDW8owce6NXq6ZPl5Fpe2dGq&#10;nnuCICa0k+voGKNriyKwkWsIC+u4waSwXkPE0A9F72FCdK2KqizPi8n63nnLeAj4dX1M0lXGF4Kz&#10;+EqIwCNRHcW7xWx9tttki9US2sGDGyWbrwH/cAsN0mDTB6g1RCDvvPwLSkvmbbAiLpjVhRVCMp45&#10;IJuT8g82r0dwPHPB4QT3MKbw/2DZy93GE9l3tKLEgMYV3X/4+u39p+93H9Hef/lMqjSkyYUWa2/M&#10;xs9RcBufGO+F1+mNXMi+o+d1eXna1JQcOnpWN2cX84z5PhKG+aqpLzDLMJ0zxS8E50N8zq0myemo&#10;kiaRhxZ2L0LErlj6syR9NvZWKpUXqAyZsPVpjStmgDISCiK62iGxYAZKQA2oTxZ9RgxWyT6dTjjB&#10;D9sb5ckOUCP19eX1uk6MsdtvZan1GsJ4rMupo3q0jChhJXVHmzI982llEjrPIpwJpCke55a8re0P&#10;eZxFinDBueksxqSgxzH6j3+Z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8c/W2QAAAAsBAAAP&#10;AAAAAAAAAAEAIAAAACIAAABkcnMvZG93bnJldi54bWxQSwECFAAUAAAACACHTuJA9YyMyt4BAAB6&#10;AwAADgAAAAAAAAABACAAAAAoAQAAZHJzL2Uyb0RvYy54bWxQSwUGAAAAAAYABgBZAQAAeAUAAAAA&#10;">
              <v:path arrowok="t"/>
              <v:fill on="f" focussize="0,0"/>
              <v:stroke weight="0.5pt" color="#5B9BD5" joinstyle="miter"/>
              <v:imagedata o:title=""/>
              <o:lock v:ext="edit" aspectratio="f"/>
            </v:line>
          </w:pict>
        </mc:Fallback>
      </mc:AlternateConten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7"/>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3"/>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sz w:val="24"/>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22860</wp:posOffset>
              </wp:positionV>
              <wp:extent cx="5257165" cy="8255"/>
              <wp:effectExtent l="0" t="0" r="0" b="0"/>
              <wp:wrapNone/>
              <wp:docPr id="3" name="直接连接符 3"/>
              <wp:cNvGraphicFramePr/>
              <a:graphic xmlns:a="http://schemas.openxmlformats.org/drawingml/2006/main">
                <a:graphicData uri="http://schemas.microsoft.com/office/word/2010/wordprocessingShape">
                  <wps:wsp>
                    <wps:cNvCnPr/>
                    <wps:spPr>
                      <a:xfrm>
                        <a:off x="937895" y="925195"/>
                        <a:ext cx="5257165" cy="8255"/>
                      </a:xfrm>
                      <a:prstGeom prst="line">
                        <a:avLst/>
                      </a:prstGeom>
                      <a:noFill/>
                      <a:ln w="1587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pt;margin-top:1.8pt;height:0.65pt;width:413.95pt;z-index:251661312;mso-width-relative:page;mso-height-relative:page;" filled="f" stroked="t" coordsize="21600,21600" o:gfxdata="UEsDBAoAAAAAAIdO4kAAAAAAAAAAAAAAAAAEAAAAZHJzL1BLAwQUAAAACACHTuJAIdEaDNQAAAAF&#10;AQAADwAAAGRycy9kb3ducmV2LnhtbE2OwU7DMBBE70j8g7VI3KidtkRtGqcSSEhwQSLtgaMbb5NQ&#10;ex3Fbhv+nuUEx9GM3rxyO3knLjjGPpCGbKZAIDXB9tRq2O9eHlYgYjJkjQuEGr4xwra6vSlNYcOV&#10;PvBSp1YwhGJhNHQpDYWUsenQmzgLAxJ3xzB6kziOrbSjuTLcOzlXKpfe9MQPnRnwucPmVJ+9hvd6&#10;f3qT2fT4Fd3nE+Um26lXp/X9XaY2IBJO6W8Mv/qsDhU7HcKZbBSO85KHGhY5CG5X8/UCxEHDcg2y&#10;KuV/++oHUEsDBBQAAAAIAIdO4kAca+uA2gEAAH8DAAAOAAAAZHJzL2Uyb0RvYy54bWytU82O0zAQ&#10;viPxDpbvNG2qbLtR0z1stVwQVAIeYOo4iSX/yWOa9iV4ASRucOLInbdh9zEYu2UpcEPkMJnxjL+Z&#10;b/JldXMwmu1lQOVsw2eTKWfSCtcq2zf87Zu7Z0vOMIJtQTsrG36UyG/WT5+sRl/L0g1OtzIwArFY&#10;j77hQ4y+LgoUgzSAE+elpWTngoFIYeiLNsBI6EYX5XR6VYwutD44IRHpdHNK8nXG7zop4quuQxmZ&#10;bjjNFrMN2e6SLdYrqPsAflDiPAb8wxQGlKWmj1AbiMDeBfUXlFEiOHRdnAhnCtd1SsjMgdjMpn+w&#10;eT2Al5kLLQf945rw/8GKl/ttYKpt+JwzC4Y+0f2Hr9/ff3r49pHs/ZfPbJ6WNHqsqfbWbsM5Qr8N&#10;ifGhCya9iQs7NPx6vlheV5wdyS2rGbl5xfIQmaB0VVaL2RXlBRUsyyqni18oPmB8Lp1hyWm4VjYt&#10;AGrYv8BISFT6syQdW3entM4dtGUjKbBaLhI6kJY6DZFc44kd2p4z0D2JVMSQIdFp1abrCQhDv7vV&#10;ge0hCSU/aXBq91tZ6r0BHE51OXXiZ1QkHWtliNXlbW0TusxKPDNIqzwtL3k71x7zTosU0VfOTc+K&#10;TDK6jMm//G/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0RoM1AAAAAUBAAAPAAAAAAAAAAEA&#10;IAAAACIAAABkcnMvZG93bnJldi54bWxQSwECFAAUAAAACACHTuJAHGvrgNoBAAB/AwAADgAAAAAA&#10;AAABACAAAAAjAQAAZHJzL2Uyb0RvYy54bWxQSwUGAAAAAAYABgBZAQAAbwUAAAAA&#10;">
              <v:fill on="f" focussize="0,0"/>
              <v:stroke weight="1.25pt" color="#000000" miterlimit="8" joinstyle="miter"/>
              <v:imagedata o:title=""/>
              <o:lock v:ext="edit" aspectratio="f"/>
            </v:line>
          </w:pict>
        </mc:Fallback>
      </mc:AlternateContent>
    </w: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3558"/>
    <w:multiLevelType w:val="multilevel"/>
    <w:tmpl w:val="41DB3558"/>
    <w:lvl w:ilvl="0" w:tentative="0">
      <w:start w:val="1"/>
      <w:numFmt w:val="chineseCountingThousand"/>
      <w:lvlText w:val="第%1条"/>
      <w:lvlJc w:val="left"/>
      <w:pPr>
        <w:ind w:left="6091" w:hanging="420"/>
      </w:pPr>
      <w:rPr>
        <w:rFonts w:hint="eastAsia" w:eastAsia="仿宋_GB2312"/>
        <w:b/>
        <w:i w:val="0"/>
        <w:lang w:val="en-US"/>
      </w:rPr>
    </w:lvl>
    <w:lvl w:ilvl="1" w:tentative="0">
      <w:start w:val="1"/>
      <w:numFmt w:val="lowerLetter"/>
      <w:lvlText w:val="%2)"/>
      <w:lvlJc w:val="left"/>
      <w:pPr>
        <w:ind w:left="1903" w:hanging="420"/>
      </w:pPr>
    </w:lvl>
    <w:lvl w:ilvl="2" w:tentative="0">
      <w:start w:val="1"/>
      <w:numFmt w:val="lowerRoman"/>
      <w:lvlText w:val="%3."/>
      <w:lvlJc w:val="right"/>
      <w:pPr>
        <w:ind w:left="2323" w:hanging="420"/>
      </w:pPr>
    </w:lvl>
    <w:lvl w:ilvl="3" w:tentative="0">
      <w:start w:val="1"/>
      <w:numFmt w:val="decimal"/>
      <w:lvlText w:val="%4."/>
      <w:lvlJc w:val="left"/>
      <w:pPr>
        <w:ind w:left="2743" w:hanging="420"/>
      </w:pPr>
    </w:lvl>
    <w:lvl w:ilvl="4" w:tentative="0">
      <w:start w:val="1"/>
      <w:numFmt w:val="lowerLetter"/>
      <w:lvlText w:val="%5)"/>
      <w:lvlJc w:val="left"/>
      <w:pPr>
        <w:ind w:left="3163" w:hanging="420"/>
      </w:pPr>
    </w:lvl>
    <w:lvl w:ilvl="5" w:tentative="0">
      <w:start w:val="1"/>
      <w:numFmt w:val="lowerRoman"/>
      <w:lvlText w:val="%6."/>
      <w:lvlJc w:val="right"/>
      <w:pPr>
        <w:ind w:left="3583" w:hanging="420"/>
      </w:pPr>
    </w:lvl>
    <w:lvl w:ilvl="6" w:tentative="0">
      <w:start w:val="1"/>
      <w:numFmt w:val="decimal"/>
      <w:lvlText w:val="%7."/>
      <w:lvlJc w:val="left"/>
      <w:pPr>
        <w:ind w:left="4003" w:hanging="420"/>
      </w:pPr>
    </w:lvl>
    <w:lvl w:ilvl="7" w:tentative="0">
      <w:start w:val="1"/>
      <w:numFmt w:val="lowerLetter"/>
      <w:lvlText w:val="%8)"/>
      <w:lvlJc w:val="left"/>
      <w:pPr>
        <w:ind w:left="4423" w:hanging="420"/>
      </w:pPr>
    </w:lvl>
    <w:lvl w:ilvl="8" w:tentative="0">
      <w:start w:val="1"/>
      <w:numFmt w:val="lowerRoman"/>
      <w:lvlText w:val="%9."/>
      <w:lvlJc w:val="right"/>
      <w:pPr>
        <w:ind w:left="48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E6715"/>
    <w:rsid w:val="0AD52E2D"/>
    <w:rsid w:val="0F0E3494"/>
    <w:rsid w:val="79EE6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firstLine="0"/>
      <w:jc w:val="left"/>
    </w:pPr>
    <w:rPr>
      <w:kern w:val="0"/>
      <w:sz w:val="24"/>
      <w:lang w:val="en-US" w:eastAsia="zh-CN" w:bidi="ar"/>
    </w:rPr>
  </w:style>
  <w:style w:type="character" w:styleId="6">
    <w:name w:val="FollowedHyperlink"/>
    <w:basedOn w:val="5"/>
    <w:uiPriority w:val="0"/>
    <w:rPr>
      <w:color w:val="000000"/>
      <w:sz w:val="18"/>
      <w:szCs w:val="18"/>
      <w:u w:val="none"/>
    </w:rPr>
  </w:style>
  <w:style w:type="character" w:styleId="7">
    <w:name w:val="Hyperlink"/>
    <w:basedOn w:val="5"/>
    <w:uiPriority w:val="0"/>
    <w:rPr>
      <w:color w:val="000000"/>
      <w:sz w:val="18"/>
      <w:szCs w:val="18"/>
      <w:u w:val="none"/>
    </w:rPr>
  </w:style>
  <w:style w:type="paragraph" w:styleId="9">
    <w:name w:val="List Paragraph"/>
    <w:basedOn w:val="1"/>
    <w:unhideWhenUsed/>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2018-12-09T02:14:00Z</dcterms:created>
  <dc:creator>pc</dc:creator>
  <cp:lastModifiedBy>pc</cp:lastModifiedBy>
  <dcterms:modified xsi:type="dcterms:W3CDTF">2018-12-09T08:56:51Z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