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185895"/>
          <w:sz w:val="36"/>
          <w:szCs w:val="36"/>
        </w:rPr>
      </w:pPr>
      <w:r>
        <w:rPr>
          <w:rFonts w:hint="eastAsia" w:ascii="宋体" w:hAnsi="宋体" w:eastAsia="宋体" w:cs="宋体"/>
          <w:b/>
          <w:color w:val="185895"/>
          <w:sz w:val="36"/>
          <w:szCs w:val="36"/>
        </w:rPr>
        <w:t>中华人民共和国财政部令第78号——</w:t>
      </w:r>
      <w:r>
        <w:rPr>
          <w:rFonts w:hint="eastAsia" w:ascii="宋体" w:hAnsi="宋体" w:eastAsia="宋体" w:cs="宋体"/>
          <w:b/>
          <w:color w:val="185895"/>
          <w:sz w:val="36"/>
          <w:szCs w:val="36"/>
        </w:rPr>
        <w:br w:type="textWrapping"/>
      </w:r>
      <w:r>
        <w:rPr>
          <w:rFonts w:hint="eastAsia" w:ascii="宋体" w:hAnsi="宋体" w:eastAsia="宋体" w:cs="宋体"/>
          <w:b/>
          <w:color w:val="185895"/>
          <w:sz w:val="36"/>
          <w:szCs w:val="36"/>
        </w:rPr>
        <w:t>政府会计准则——基本准则</w:t>
      </w:r>
    </w:p>
    <w:p>
      <w:pPr>
        <w:jc w:val="both"/>
        <w:rPr>
          <w:rFonts w:hint="eastAsia" w:ascii="宋体" w:hAnsi="宋体" w:eastAsia="宋体" w:cs="宋体"/>
          <w:b/>
          <w:color w:val="185895"/>
          <w:sz w:val="36"/>
          <w:szCs w:val="36"/>
          <w:lang w:eastAsia="zh-CN"/>
        </w:rPr>
      </w:pPr>
    </w:p>
    <w:p>
      <w:pPr>
        <w:pStyle w:val="4"/>
        <w:keepNext w:val="0"/>
        <w:keepLines w:val="0"/>
        <w:widowControl/>
        <w:suppressLineNumbers w:val="0"/>
        <w:wordWrap w:val="0"/>
        <w:spacing w:line="432" w:lineRule="auto"/>
        <w:jc w:val="left"/>
      </w:pPr>
      <w:r>
        <w:rPr>
          <w:rFonts w:hint="eastAsia" w:ascii="宋体" w:hAnsi="宋体" w:eastAsia="宋体" w:cs="宋体"/>
          <w:sz w:val="24"/>
          <w:szCs w:val="24"/>
        </w:rPr>
        <w:t>《政府会计准则——基本准则》已经财政</w:t>
      </w:r>
      <w:bookmarkStart w:id="0" w:name="_GoBack"/>
      <w:bookmarkEnd w:id="0"/>
      <w:r>
        <w:rPr>
          <w:rFonts w:hint="eastAsia" w:ascii="宋体" w:hAnsi="宋体" w:eastAsia="宋体" w:cs="宋体"/>
          <w:sz w:val="24"/>
          <w:szCs w:val="24"/>
        </w:rPr>
        <w:t>部部务会议审议通过，现予公布，自</w:t>
      </w:r>
      <w:r>
        <w:rPr>
          <w:rFonts w:hint="eastAsia" w:ascii="宋体" w:hAnsi="宋体" w:eastAsia="宋体" w:cs="宋体"/>
          <w:sz w:val="24"/>
          <w:szCs w:val="24"/>
          <w:lang w:val="en-US"/>
        </w:rPr>
        <w:t>2017</w:t>
      </w:r>
      <w:r>
        <w:rPr>
          <w:rFonts w:hint="eastAsia" w:ascii="宋体" w:hAnsi="宋体" w:eastAsia="宋体" w:cs="宋体"/>
          <w:sz w:val="24"/>
          <w:szCs w:val="24"/>
        </w:rPr>
        <w:t>年</w:t>
      </w:r>
      <w:r>
        <w:rPr>
          <w:rFonts w:hint="eastAsia" w:ascii="宋体" w:hAnsi="宋体" w:eastAsia="宋体" w:cs="宋体"/>
          <w:sz w:val="24"/>
          <w:szCs w:val="24"/>
          <w:lang w:val="en-US"/>
        </w:rPr>
        <w:t>1</w:t>
      </w:r>
      <w:r>
        <w:rPr>
          <w:rFonts w:hint="eastAsia" w:ascii="宋体" w:hAnsi="宋体" w:eastAsia="宋体" w:cs="宋体"/>
          <w:sz w:val="24"/>
          <w:szCs w:val="24"/>
        </w:rPr>
        <w:t>月</w:t>
      </w:r>
      <w:r>
        <w:rPr>
          <w:rFonts w:hint="eastAsia" w:ascii="宋体" w:hAnsi="宋体" w:eastAsia="宋体" w:cs="宋体"/>
          <w:sz w:val="24"/>
          <w:szCs w:val="24"/>
          <w:lang w:val="en-US"/>
        </w:rPr>
        <w:t>1</w:t>
      </w:r>
      <w:r>
        <w:rPr>
          <w:rFonts w:hint="eastAsia" w:ascii="宋体" w:hAnsi="宋体" w:eastAsia="宋体" w:cs="宋体"/>
          <w:sz w:val="24"/>
          <w:szCs w:val="24"/>
        </w:rPr>
        <w:t>日起施行。</w:t>
      </w:r>
    </w:p>
    <w:p>
      <w:pPr>
        <w:pStyle w:val="4"/>
        <w:keepNext w:val="0"/>
        <w:keepLines w:val="0"/>
        <w:widowControl/>
        <w:suppressLineNumbers w:val="0"/>
        <w:wordWrap w:val="0"/>
        <w:spacing w:line="432" w:lineRule="auto"/>
        <w:jc w:val="right"/>
      </w:pPr>
      <w:r>
        <w:rPr>
          <w:rFonts w:hint="eastAsia" w:ascii="宋体" w:hAnsi="宋体" w:eastAsia="宋体" w:cs="宋体"/>
          <w:sz w:val="24"/>
          <w:szCs w:val="24"/>
        </w:rPr>
        <w:t>　　</w:t>
      </w:r>
      <w:r>
        <w:rPr>
          <w:rFonts w:hint="eastAsia" w:ascii="宋体" w:hAnsi="宋体" w:eastAsia="宋体" w:cs="宋体"/>
          <w:sz w:val="24"/>
          <w:szCs w:val="24"/>
          <w:lang w:val="en-US"/>
        </w:rPr>
        <w:t xml:space="preserve">                      </w:t>
      </w:r>
      <w:r>
        <w:rPr>
          <w:rFonts w:hint="eastAsia" w:ascii="宋体" w:hAnsi="宋体" w:eastAsia="宋体" w:cs="宋体"/>
          <w:sz w:val="24"/>
          <w:szCs w:val="24"/>
        </w:rPr>
        <w:t>部长：楼继伟</w:t>
      </w:r>
    </w:p>
    <w:p>
      <w:pPr>
        <w:pStyle w:val="4"/>
        <w:keepNext w:val="0"/>
        <w:keepLines w:val="0"/>
        <w:widowControl/>
        <w:suppressLineNumbers w:val="0"/>
        <w:wordWrap w:val="0"/>
        <w:spacing w:line="432" w:lineRule="auto"/>
        <w:jc w:val="right"/>
      </w:pPr>
      <w:r>
        <w:rPr>
          <w:rFonts w:hint="eastAsia" w:ascii="宋体" w:hAnsi="宋体" w:eastAsia="宋体" w:cs="宋体"/>
          <w:sz w:val="24"/>
          <w:szCs w:val="24"/>
        </w:rPr>
        <w:t>　　</w:t>
      </w:r>
      <w:r>
        <w:rPr>
          <w:rFonts w:hint="eastAsia" w:ascii="宋体" w:hAnsi="宋体" w:eastAsia="宋体" w:cs="宋体"/>
          <w:sz w:val="24"/>
          <w:szCs w:val="24"/>
          <w:lang w:val="en-US"/>
        </w:rPr>
        <w:t>2015</w:t>
      </w:r>
      <w:r>
        <w:rPr>
          <w:rFonts w:hint="eastAsia" w:ascii="宋体" w:hAnsi="宋体" w:eastAsia="宋体" w:cs="宋体"/>
          <w:sz w:val="24"/>
          <w:szCs w:val="24"/>
        </w:rPr>
        <w:t>年</w:t>
      </w:r>
      <w:r>
        <w:rPr>
          <w:rFonts w:hint="eastAsia" w:ascii="宋体" w:hAnsi="宋体" w:eastAsia="宋体" w:cs="宋体"/>
          <w:sz w:val="24"/>
          <w:szCs w:val="24"/>
          <w:lang w:val="en-US"/>
        </w:rPr>
        <w:t>10</w:t>
      </w:r>
      <w:r>
        <w:rPr>
          <w:rFonts w:hint="eastAsia" w:ascii="宋体" w:hAnsi="宋体" w:eastAsia="宋体" w:cs="宋体"/>
          <w:sz w:val="24"/>
          <w:szCs w:val="24"/>
        </w:rPr>
        <w:t>月</w:t>
      </w:r>
      <w:r>
        <w:rPr>
          <w:rFonts w:hint="eastAsia" w:ascii="宋体" w:hAnsi="宋体" w:eastAsia="宋体" w:cs="宋体"/>
          <w:sz w:val="24"/>
          <w:szCs w:val="24"/>
          <w:lang w:val="en-US"/>
        </w:rPr>
        <w:t>23</w:t>
      </w:r>
      <w:r>
        <w:rPr>
          <w:rFonts w:hint="eastAsia" w:ascii="宋体" w:hAnsi="宋体" w:eastAsia="宋体" w:cs="宋体"/>
          <w:sz w:val="24"/>
          <w:szCs w:val="24"/>
        </w:rPr>
        <w:t>日</w:t>
      </w:r>
    </w:p>
    <w:p>
      <w:pPr>
        <w:pStyle w:val="4"/>
        <w:keepNext w:val="0"/>
        <w:keepLines w:val="0"/>
        <w:widowControl/>
        <w:suppressLineNumbers w:val="0"/>
        <w:spacing w:line="432"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4"/>
        <w:keepNext w:val="0"/>
        <w:keepLines w:val="0"/>
        <w:widowControl/>
        <w:suppressLineNumbers w:val="0"/>
        <w:spacing w:line="432" w:lineRule="auto"/>
        <w:jc w:val="left"/>
        <w:rPr>
          <w:rFonts w:hint="eastAsia" w:ascii="宋体" w:hAnsi="宋体" w:eastAsia="宋体" w:cs="宋体"/>
          <w:sz w:val="24"/>
          <w:szCs w:val="24"/>
        </w:rPr>
      </w:pPr>
    </w:p>
    <w:p>
      <w:pPr>
        <w:pStyle w:val="4"/>
        <w:keepNext w:val="0"/>
        <w:keepLines w:val="0"/>
        <w:widowControl/>
        <w:suppressLineNumbers w:val="0"/>
        <w:spacing w:line="432" w:lineRule="auto"/>
        <w:jc w:val="left"/>
        <w:rPr>
          <w:rFonts w:hint="eastAsia" w:ascii="宋体" w:hAnsi="宋体" w:eastAsia="宋体" w:cs="宋体"/>
          <w:sz w:val="24"/>
          <w:szCs w:val="24"/>
        </w:rPr>
      </w:pPr>
    </w:p>
    <w:p>
      <w:pPr>
        <w:pStyle w:val="4"/>
        <w:keepNext w:val="0"/>
        <w:keepLines w:val="0"/>
        <w:widowControl/>
        <w:suppressLineNumbers w:val="0"/>
        <w:spacing w:line="432" w:lineRule="auto"/>
        <w:jc w:val="left"/>
        <w:rPr>
          <w:rFonts w:hint="eastAsia" w:ascii="宋体" w:hAnsi="宋体" w:eastAsia="宋体" w:cs="宋体"/>
          <w:sz w:val="24"/>
          <w:szCs w:val="24"/>
        </w:rPr>
      </w:pPr>
    </w:p>
    <w:p>
      <w:pPr>
        <w:pStyle w:val="4"/>
        <w:keepNext w:val="0"/>
        <w:keepLines w:val="0"/>
        <w:widowControl/>
        <w:suppressLineNumbers w:val="0"/>
        <w:spacing w:line="432" w:lineRule="auto"/>
        <w:jc w:val="left"/>
        <w:rPr>
          <w:rFonts w:hint="eastAsia" w:ascii="宋体" w:hAnsi="宋体" w:eastAsia="宋体" w:cs="宋体"/>
          <w:sz w:val="24"/>
          <w:szCs w:val="24"/>
        </w:rPr>
      </w:pPr>
    </w:p>
    <w:p>
      <w:pPr>
        <w:pStyle w:val="4"/>
        <w:keepNext w:val="0"/>
        <w:keepLines w:val="0"/>
        <w:widowControl/>
        <w:suppressLineNumbers w:val="0"/>
        <w:spacing w:line="432" w:lineRule="auto"/>
        <w:jc w:val="left"/>
        <w:rPr>
          <w:rFonts w:hint="eastAsia" w:ascii="宋体" w:hAnsi="宋体" w:eastAsia="宋体" w:cs="宋体"/>
          <w:sz w:val="24"/>
          <w:szCs w:val="24"/>
        </w:rPr>
      </w:pPr>
    </w:p>
    <w:p>
      <w:pPr>
        <w:pStyle w:val="4"/>
        <w:keepNext w:val="0"/>
        <w:keepLines w:val="0"/>
        <w:widowControl/>
        <w:suppressLineNumbers w:val="0"/>
        <w:spacing w:line="432" w:lineRule="auto"/>
        <w:jc w:val="left"/>
        <w:rPr>
          <w:rFonts w:hint="eastAsia" w:ascii="宋体" w:hAnsi="宋体" w:eastAsia="宋体" w:cs="宋体"/>
          <w:sz w:val="24"/>
          <w:szCs w:val="24"/>
        </w:rPr>
      </w:pPr>
    </w:p>
    <w:p>
      <w:pPr>
        <w:pStyle w:val="4"/>
        <w:keepNext w:val="0"/>
        <w:keepLines w:val="0"/>
        <w:widowControl/>
        <w:suppressLineNumbers w:val="0"/>
        <w:spacing w:line="432" w:lineRule="auto"/>
        <w:jc w:val="left"/>
        <w:rPr>
          <w:rFonts w:hint="eastAsia" w:ascii="宋体" w:hAnsi="宋体" w:eastAsia="宋体" w:cs="宋体"/>
          <w:sz w:val="24"/>
          <w:szCs w:val="24"/>
        </w:rPr>
      </w:pPr>
    </w:p>
    <w:p>
      <w:pPr>
        <w:pStyle w:val="4"/>
        <w:keepNext w:val="0"/>
        <w:keepLines w:val="0"/>
        <w:widowControl/>
        <w:suppressLineNumbers w:val="0"/>
        <w:spacing w:line="432" w:lineRule="auto"/>
        <w:jc w:val="left"/>
        <w:rPr>
          <w:rFonts w:hint="eastAsia" w:ascii="宋体" w:hAnsi="宋体" w:eastAsia="宋体" w:cs="宋体"/>
          <w:sz w:val="24"/>
          <w:szCs w:val="24"/>
        </w:rPr>
      </w:pPr>
    </w:p>
    <w:p>
      <w:pPr>
        <w:pStyle w:val="4"/>
        <w:keepNext w:val="0"/>
        <w:keepLines w:val="0"/>
        <w:widowControl/>
        <w:suppressLineNumbers w:val="0"/>
        <w:spacing w:line="432" w:lineRule="auto"/>
        <w:jc w:val="left"/>
        <w:rPr>
          <w:rFonts w:hint="eastAsia" w:ascii="宋体" w:hAnsi="宋体" w:eastAsia="宋体" w:cs="宋体"/>
          <w:sz w:val="24"/>
          <w:szCs w:val="24"/>
        </w:rPr>
      </w:pPr>
    </w:p>
    <w:p>
      <w:pPr>
        <w:pStyle w:val="4"/>
        <w:keepNext w:val="0"/>
        <w:keepLines w:val="0"/>
        <w:widowControl/>
        <w:suppressLineNumbers w:val="0"/>
        <w:spacing w:line="432" w:lineRule="auto"/>
        <w:jc w:val="center"/>
        <w:rPr>
          <w:rFonts w:hint="eastAsia" w:ascii="宋体" w:hAnsi="宋体" w:eastAsia="宋体" w:cs="宋体"/>
          <w:sz w:val="24"/>
          <w:szCs w:val="2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
        <w:keepNext w:val="0"/>
        <w:keepLines w:val="0"/>
        <w:widowControl/>
        <w:suppressLineNumbers w:val="0"/>
        <w:spacing w:line="432" w:lineRule="auto"/>
        <w:jc w:val="center"/>
      </w:pPr>
      <w:r>
        <w:rPr>
          <w:rFonts w:hint="eastAsia" w:ascii="宋体" w:hAnsi="宋体" w:eastAsia="宋体" w:cs="宋体"/>
          <w:sz w:val="24"/>
          <w:szCs w:val="24"/>
        </w:rPr>
        <w:t>　</w:t>
      </w:r>
      <w:r>
        <w:rPr>
          <w:rFonts w:hint="eastAsia" w:ascii="宋体" w:hAnsi="宋体" w:eastAsia="宋体" w:cs="宋体"/>
          <w:sz w:val="32"/>
          <w:szCs w:val="32"/>
        </w:rPr>
        <w:t>　</w:t>
      </w:r>
      <w:r>
        <w:rPr>
          <w:rFonts w:hint="eastAsia" w:ascii="宋体" w:hAnsi="宋体" w:eastAsia="宋体" w:cs="宋体"/>
          <w:sz w:val="44"/>
          <w:szCs w:val="44"/>
        </w:rPr>
        <w:t> </w:t>
      </w:r>
      <w:r>
        <w:rPr>
          <w:rStyle w:val="6"/>
          <w:rFonts w:hint="eastAsia" w:ascii="宋体" w:hAnsi="宋体" w:eastAsia="宋体" w:cs="宋体"/>
          <w:sz w:val="44"/>
          <w:szCs w:val="44"/>
        </w:rPr>
        <w:t>政府会计准则—基本准则</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w:t>
      </w:r>
      <w:r>
        <w:rPr>
          <w:rFonts w:hint="eastAsia" w:ascii="宋体" w:hAnsi="宋体" w:eastAsia="宋体" w:cs="宋体"/>
          <w:sz w:val="24"/>
          <w:szCs w:val="24"/>
          <w:lang w:val="en-US"/>
        </w:rPr>
        <w:t xml:space="preserve">                      </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第一章　总 则</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第一条　为了规范政府的会计核算，保证会计信息质量，根据《中华人民共和国会计法》、《中华人民共和国预算法》和其他有关法律、行政法规，制定本准则。</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第二条 本准则适用于各级政府、各部门、各单位（以下统称政府会计主体）。</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前款所称各部门、各单位是指与本级政府财政部门直接或者间接发生预算拨款关系的国家机关、军队、政党组织、社会团体、事业单位和其他单位。</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军队、已纳入企业财务管理体系的单位和执行《民间非营利组织会计制度》的社会团体，不适用本准则。</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第三条　政府会计由预算会计和财务会计构成。</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预算会计实行收付实现制，国务院另有规定的，依照其规定。</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财务会计实行权责发生制。</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第四条 政府会计具体准则及其应用指南、政府会计制度等，应当由财政部遵循本准则制定。</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第五条　政府会计主体应当编制决算报告和财务报告。</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决算报告的目标是向决算报告使用者提供与政府预算执行情况有关的信息，综合反映政府会计主体预算收支的年度执行结果，有助于决算报告使用者进行监督和管理，并为编制后续年度预算提供参考和依据。政府决算报告使用者包括各级人民代表大会及其常务委员会、各级政府及其有关部门、政府会计主体自身、社会公众和其他利益相关者。</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财务报告的目标是向财务报告使用者提供与政府的财务状况、运行情况（含运行成本，下同）和现金流量等有关信息，反映政府会计主体公共受托责任履行情况，有助于财务报告使用者作出决策或者进行监督和管理。政府财务报告使用者包括各级人民代表大会常务委员会、债权人、各级政府及其有关部门、政府会计主体自身和其他利益相关者。</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第六条　政府会计主体应当对其自身发生的经济业务或者事项进行会计核算。</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第七条　政府会计核算应当以政府会计主体持续运行为前提。</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第八条　政府会计核算应当划分会计期间，分期结算账目，按规定编制决算报告和财务报告。</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会计期间至少分为年度和月度。会计年度、月度等会计期间的起讫日期采用公历日期。</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第九条　政府会计核算应当以人民币作为记账本位币。发生外币业务时，应当将有关外币金额折算为人民币金额计量，同时登记外币金额。</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第十条　政府会计核算应当采用借贷记账法记账。</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第二章　政府会计信息质量要求</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第十一条　政府会计主体应当以实际发生的经济业务或者事项为依据进行会计核算，如实反映各项会计要素的情况和结果，保证会计信息真实可靠。</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第十二条  政府会计主体应当将发生的各项经济业务或者事项统一纳入会计核算，确保会计信息能够全面反映政府会计主体预算执行情况和财务状况、运行情况、现金流量等。</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jc w:val="left"/>
        <w:textAlignment w:val="auto"/>
        <w:outlineLvl w:val="9"/>
      </w:pPr>
      <w:r>
        <w:rPr>
          <w:rFonts w:hint="eastAsia" w:ascii="宋体" w:hAnsi="宋体" w:eastAsia="宋体" w:cs="宋体"/>
          <w:snapToGrid w:val="0"/>
          <w:sz w:val="24"/>
          <w:szCs w:val="24"/>
        </w:rPr>
        <w:t>　　</w:t>
      </w:r>
      <w:r>
        <w:rPr>
          <w:rFonts w:hint="eastAsia" w:ascii="宋体" w:hAnsi="宋体" w:eastAsia="宋体" w:cs="宋体"/>
          <w:sz w:val="24"/>
          <w:szCs w:val="24"/>
        </w:rPr>
        <w:t>第十三条　政府会计主体提供的会计信息，应当与反映政府会计主体公共受托责任履行情况以及报告使用者决策或者监督、管理的需要相关，有助于报告使用者对政府会计主体过去、现在或者未来的情况作出评价或者预测。</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第十四条 政府会计主体对已经发生的经济业务或者事项，应当及时进行会计核算，不得提前或者延后。</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第十五条  政府会计主体提供的会计信息应当具有可比性。</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同一政府会计主体不同时期发生的相同或者相似的经济业务或者事项，应当采用一致的会计政策，不得随意变更。确需变更的，应当将变更的内容、理由及其影响在附注中予以说明。</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不同政府会计主体发生的相同或者相似的经济业务或者事项，应当采用一致的会计政策，确保政府会计信息口径一致，相互可比。</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第十六条　政府会计主体提供的会计信息应当清晰明了，便于报告使用者理解和使用。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第十七条 政府会计主体应当按照经济业务或者事项的经济实质进行会计核算，不限于以经济业务或者事项的法律形式为依据。</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第三章　政府预算会计要素</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第十八条　政府预算会计要素包括预算收入、预算支出与预算结余。</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第十九条 预算收入是指政府会计主体在预算年度内依法取得的并纳入预算管理的现金流入。</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第二十条  预算收入一般在实际收到时予以确认，以实际收到的金额计量。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第二十一条　预算支出是指政府会计主体在预算年度内依法发生并纳入预算管理的现金流出。</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第二十二条 预算支出一般在实际支付时予以确认，以实际支付的金额计量。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第二十三条 预算结余是指政府会计主体预算年度内预算收入扣除预算支出后的资金余额，以及历年滚存的资金余额。</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第二十四条 预算结余包括结余资金和结转资金。</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结余资金是指年度预算执行终了，预算收入实际完成数扣除预算支出和结转资金后剩余的资金。</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结转资金是指预算安排项目的支出年终尚未执行完毕或者因故未执行，且下年需要按原用途继续使用的资金。</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第二十五条 符合预算收入、预算支出和预算结余定义及其确认条件的项目应当列入政府决算报表。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第四章 政府财务会计要素</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第二十六条　政府财务会计要素包括资产、负债、净资产、收入和费用。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第一节 资 产</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第二十七条  资产是指政府会计主体过去的经济业务或者事项形成的，由政府会计主体控制的，预期能够产生服务潜力或者带来经济利益流入的经济资源。</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服务潜力是指政府会计主体利用资产提供公共产品和服务以履行政府职能的潜在能力。</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经济利益流入表现为现金及现金等价物的流入，或者现金及现金等价物流出的减少。</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第二十八条  政府会计主体的资产按照流动性，分为流动资产和非流动资产。</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流动资产是指预计在</w:t>
      </w:r>
      <w:r>
        <w:rPr>
          <w:rFonts w:hint="eastAsia" w:ascii="宋体" w:hAnsi="宋体" w:eastAsia="宋体" w:cs="宋体"/>
          <w:sz w:val="24"/>
          <w:szCs w:val="24"/>
          <w:lang w:val="en-US"/>
        </w:rPr>
        <w:t>1</w:t>
      </w:r>
      <w:r>
        <w:rPr>
          <w:rFonts w:hint="eastAsia" w:ascii="宋体" w:hAnsi="宋体" w:eastAsia="宋体" w:cs="宋体"/>
          <w:sz w:val="24"/>
          <w:szCs w:val="24"/>
        </w:rPr>
        <w:t>年内（含</w:t>
      </w:r>
      <w:r>
        <w:rPr>
          <w:rFonts w:hint="eastAsia" w:ascii="宋体" w:hAnsi="宋体" w:eastAsia="宋体" w:cs="宋体"/>
          <w:sz w:val="24"/>
          <w:szCs w:val="24"/>
          <w:lang w:val="en-US"/>
        </w:rPr>
        <w:t>1</w:t>
      </w:r>
      <w:r>
        <w:rPr>
          <w:rFonts w:hint="eastAsia" w:ascii="宋体" w:hAnsi="宋体" w:eastAsia="宋体" w:cs="宋体"/>
          <w:sz w:val="24"/>
          <w:szCs w:val="24"/>
        </w:rPr>
        <w:t>年）耗用或者可以变现的资产，包括货币资金、短期投资、应收及预付款项、存货等。</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非流动资产是指流动资产以外的资产，包括固定资产、在建工程、无形资产、长期投资、公共基础设施、政府储备资产、文物文化资产、保障性住房和自然资源资产等。</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第二十九条　符合本准则第二十七条规定的资产定义的经济资源，在同时满足以下条件时，确认为资产：</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（一）与该经济资源相关的服务潜力很可能实现或者经济利益很可能流入政府会计主体；</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（二）该经济资源的成本或者价值能够可靠地计量。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第三十条　资产的计量属性主要包括历史成本、重置成本、现值、公允价值和名义金额。</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在历史成本计量下，资产按照取得时支付的现金金额或者支付对价的公允价值计量。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在重置成本计量下，资产按照现在购买相同或者相似资产所需支付的现金金额计量。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在现值计量下，资产按照预计从其持续使用和最终处置中所产生的未来净现金流入量的折现金额计量。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在公允价值计量下，资产按照市场参与者在计量日发生的有序交易中，出售资产所能收到的价格计量。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无法采用上述计量属性的，采用名义金额（即人民币</w:t>
      </w:r>
      <w:r>
        <w:rPr>
          <w:rFonts w:hint="eastAsia" w:ascii="宋体" w:hAnsi="宋体" w:eastAsia="宋体" w:cs="宋体"/>
          <w:sz w:val="24"/>
          <w:szCs w:val="24"/>
          <w:lang w:val="en-US"/>
        </w:rPr>
        <w:t>1</w:t>
      </w:r>
      <w:r>
        <w:rPr>
          <w:rFonts w:hint="eastAsia" w:ascii="宋体" w:hAnsi="宋体" w:eastAsia="宋体" w:cs="宋体"/>
          <w:sz w:val="24"/>
          <w:szCs w:val="24"/>
        </w:rPr>
        <w:t>元）计量。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第三十一条  政府会计主体在对资产进行计量时，一般应当采用历史成本。</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采用重置成本、现值、公允价值计量的，应当保证所确定的资产金额能够持续、可靠计量。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第三十二条 符合资产定义和资产确认条件的项目，应当列入资产负债表。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第二节 负 债</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第三十三条　负债是指政府会计主体过去的经济业务或者事项形成的，预期会导致经济资源流出政府会计主体的现时义务。</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现时义务是指政府会计主体在现行条件下已承担的义务。未来发生的经济业务或者事项形成的义务不属于现时义务，不应当确认为负债。</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第三十四条  政府会计主体的负债按照流动性，分为流动负债和非流动负债。</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流动负债是指预计在</w:t>
      </w:r>
      <w:r>
        <w:rPr>
          <w:rFonts w:hint="eastAsia" w:ascii="宋体" w:hAnsi="宋体" w:eastAsia="宋体" w:cs="宋体"/>
          <w:sz w:val="24"/>
          <w:szCs w:val="24"/>
          <w:lang w:val="en-US"/>
        </w:rPr>
        <w:t>1</w:t>
      </w:r>
      <w:r>
        <w:rPr>
          <w:rFonts w:hint="eastAsia" w:ascii="宋体" w:hAnsi="宋体" w:eastAsia="宋体" w:cs="宋体"/>
          <w:sz w:val="24"/>
          <w:szCs w:val="24"/>
        </w:rPr>
        <w:t>年内（含</w:t>
      </w:r>
      <w:r>
        <w:rPr>
          <w:rFonts w:hint="eastAsia" w:ascii="宋体" w:hAnsi="宋体" w:eastAsia="宋体" w:cs="宋体"/>
          <w:sz w:val="24"/>
          <w:szCs w:val="24"/>
          <w:lang w:val="en-US"/>
        </w:rPr>
        <w:t>1</w:t>
      </w:r>
      <w:r>
        <w:rPr>
          <w:rFonts w:hint="eastAsia" w:ascii="宋体" w:hAnsi="宋体" w:eastAsia="宋体" w:cs="宋体"/>
          <w:sz w:val="24"/>
          <w:szCs w:val="24"/>
        </w:rPr>
        <w:t>年）偿还的负债，包括应付及预收款项、应付职工薪酬、应缴款项等。</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非流动负债是指流动负债以外的负债，包括长期应付款、应付政府债券和政府依法担保形成的债务等。</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第三十五条　符合本准则第三十三条规定的负债定义的义务，在同时满足以下条件时，确认为负债：</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（一）履行该义务很可能导致含有服务潜力或者经济利益的经济资源流出政府会计主体；</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（二）该义务的金额能够可靠地计量。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第三十六条　负债的计量属性主要包括历史成本、现值和公允价值。</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在历史成本计量下，负债按照因承担现时义务而实际收到的款项或者资产的金额，或者承担现时义务的合同金额，或者按照为偿还负债预期需要支付的现金计量。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在现值计量下，负债按照预计期限内需要偿还的未来净现金流出量的折现金额计量。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在公允价值计量下，负债按照市场参与者在计量日发生的有序交易中，转移负债所需支付的价格计量。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第三十七条  政府会计主体在对负债进行计量时，一般应当采用历史成本。</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采用现值、公允价值计量的，应当保证所确定的负债金额能够持续、可靠计量。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第三十八条　符合负债定义和负债确认条件的项目，应当列入资产负债表。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第三节 净资产</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第三十九条  净资产是指政府会计主体资产扣除负债后的净额。</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第四十条  净资产金额取决于资产和负债的计量。</w:t>
      </w:r>
      <w:r>
        <w:rPr>
          <w:rFonts w:hint="eastAsia" w:ascii="宋体" w:hAnsi="宋体" w:eastAsia="宋体" w:cs="宋体"/>
          <w:sz w:val="24"/>
          <w:szCs w:val="24"/>
          <w:lang w:val="en-US"/>
        </w:rPr>
        <w:t> </w:t>
      </w:r>
      <w:r>
        <w:rPr>
          <w:rFonts w:hint="eastAsia" w:ascii="宋体" w:hAnsi="宋体" w:eastAsia="宋体" w:cs="宋体"/>
          <w:sz w:val="24"/>
          <w:szCs w:val="24"/>
        </w:rPr>
        <w:t>　　</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jc w:val="left"/>
        <w:textAlignment w:val="auto"/>
        <w:outlineLvl w:val="9"/>
      </w:pPr>
      <w:r>
        <w:rPr>
          <w:rFonts w:hint="eastAsia" w:ascii="宋体" w:hAnsi="宋体" w:eastAsia="宋体" w:cs="宋体"/>
          <w:sz w:val="24"/>
          <w:szCs w:val="24"/>
        </w:rPr>
        <w:t>第四十一条  净资产项目应当列入资产负债表。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第四节 收 入</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第四十二条　收入是指报告期内导致政府会计主体净资产增加的、含有服务潜力或者经济利益的经济资源的流入。</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第四十三条　收入的确认应当同时满足以下条件：</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（一）与收入相关的含有服务潜力或者经济利益的经济资源很可能流入政府会计主体；</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（二）含有服务潜力或者经济利益的经济资源流入会导致政府会计主体资产增加或者负债减少；</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（三）流入金额能够可靠地计量。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第四十四条  符合收入定义和收入确认条件的项目，应当列入收入费用表。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第五节 费 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第四十五条 费用是指报告期内导致政府会计主体净资产减少的、含有服务潜力或者经济利益的经济资源的流出。</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第四十六条 费用的确认应当同时满足以下条件：</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（一）与费用相关的含有服务潜力或者经济利益的经济资源很可能流出政府会计主体；</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（二）含有服务潜力或者经济利益的经济资源流出会导致政府会计主体资产减少或者负债增加；</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（三）流出金额能够可靠地计量。</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xml:space="preserve">　　第四十七条  符合费用定义和费用确认条件的项目，应当列入收入费用表。 </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第五章　政府决算报告和财务报告</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第四十八条 政府决算报告是综合反映政府会计主体年度预算收支执行结果的文件。</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政府决算报告应当包括决算报表和其他应当在决算报告中反映的相关信息和资料。</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政府决算报告的具体内容及编制要求等，由财政部另行规定。</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第四十九条  政府财务报告是反映政府会计主体某一特定日期的财务状况和某一会计期间的运行情况和现金流量等信息的文件。</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政府财务报告应当包括财务报表和其他应当在财务报告中披露的相关信息和资料。</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第五十条  政府财务报告包括政府综合财务报告和政府部门财务报告。</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政府综合财务报告是指由政府财政部门编制的，反映各级政府整体财务状况、运行情况和财政中长期可持续性的报告。</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政府部门财务报告是指政府各部门、各单位按规定编制的财务报告。</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第五十一条 财务报表是对政府会计主体财务状况、运行情况和现金流量等信息的结构性表述。</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财务报表包括会计报表和附注。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会计报表至少应当包括资产负债表、收入费用表和现金流量表。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政府会计主体应当根据相关规定编制合并财务报表。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第五十二条　资产负债表是反映政府会计主体在某一特定日期的财务状况的报表。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第五十三条　收入费用表是反映政府会计主体在一定会计期间运行情况的报表。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第五十四条　现金流量表是反映政府会计主体在一定会计期间现金及现金等价物流入和流出情况的报表。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第五十五条　附注是对在资产负债表、收入费用表、现金流量表等报表中列示项目所作的进一步说明，以及对未能在这些报表中列示项目的说明。</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第五十六条  政府决算报告的编制主要以收付实现制为基础，以预算会计核算生成的数据为准。</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政府财务报告的编制主要以权责发生制为基础，以财务会计核算生成的数据为准。</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center"/>
        <w:textAlignment w:val="auto"/>
        <w:outlineLvl w:val="9"/>
      </w:pPr>
      <w:r>
        <w:rPr>
          <w:rFonts w:hint="eastAsia" w:ascii="宋体" w:hAnsi="宋体" w:eastAsia="宋体" w:cs="宋体"/>
          <w:sz w:val="24"/>
          <w:szCs w:val="24"/>
        </w:rPr>
        <w:t>　　第六章　附 则</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第五十七条  本准则所称会计核算，包括会计确认、计量、记录和报告各个环节，涵盖填制会计凭证、登记会计账簿、编制报告全过程。</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第五十八条 本准则所称预算会计，是指以收付实现制为基础对政府会计主体预算执行过程中发生的全部收入和全部支出进行会计核算，主要反映和监督预算收支执行情况的会计。</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第五十九条  本准则所称财务会计，是指以权责发生制为基础对政府会计主体发生的各项经济业务或者事项进行会计核算，主要反映和监督政府会计主体财务状况、运行情况和现金流量等的会计。</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xml:space="preserve">　　第六十条  本准则所称收付实现制，是指以现金的实际收付为标志来确定本期收入和支出的会计核算基础。凡在当期实际收到的现金收入和支出，均应作为当期的收入和支出；凡是不属于当期的现金收入和支出，均不应当作为当期的收入和支出。 </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第六十一条 本准则所称权责发生制，是指以取得收取款项的权利或支付款项的义务为标志来确定本期</w:t>
      </w: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"http://baike.baidu.com/view/604597.htm" \t "http://tfs.mof.gov.cn/zhengwuxinxi/caizhengbuling/201511/_blank" </w:instrText>
      </w:r>
      <w:r>
        <w:rPr>
          <w:rFonts w:hint="eastAsia" w:ascii="宋体" w:hAnsi="宋体" w:eastAsia="宋体" w:cs="宋体"/>
          <w:sz w:val="24"/>
          <w:szCs w:val="24"/>
          <w:lang w:val="en-US"/>
        </w:rPr>
        <w:fldChar w:fldCharType="separate"/>
      </w:r>
      <w:r>
        <w:rPr>
          <w:rStyle w:val="8"/>
          <w:rFonts w:hint="eastAsia" w:ascii="宋体" w:hAnsi="宋体" w:eastAsia="宋体" w:cs="宋体"/>
          <w:sz w:val="24"/>
          <w:szCs w:val="24"/>
          <w:u w:val="none"/>
          <w:lang w:val="en-US"/>
        </w:rPr>
        <w:t>收入</w:t>
      </w:r>
      <w:r>
        <w:rPr>
          <w:rFonts w:hint="eastAsia" w:ascii="宋体" w:hAnsi="宋体" w:eastAsia="宋体" w:cs="宋体"/>
          <w:sz w:val="24"/>
          <w:szCs w:val="24"/>
          <w:lang w:val="en-US"/>
        </w:rPr>
        <w:fldChar w:fldCharType="end"/>
      </w:r>
      <w:r>
        <w:rPr>
          <w:rFonts w:hint="eastAsia" w:ascii="宋体" w:hAnsi="宋体" w:eastAsia="宋体" w:cs="宋体"/>
          <w:sz w:val="24"/>
          <w:szCs w:val="24"/>
        </w:rPr>
        <w:t>和费用的会计核算基础。凡是当期已经实现的收入和已经发生的或应当负担的费用，不论款项是否收付，都应当作为当期的收入和费用；凡是不属于当期的收入和费用，即使款项已在当期收付，也不应当作为当期的收入和费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00" w:lineRule="exact"/>
        <w:jc w:val="left"/>
        <w:textAlignment w:val="auto"/>
        <w:outlineLvl w:val="9"/>
      </w:pPr>
      <w:r>
        <w:rPr>
          <w:rFonts w:hint="eastAsia" w:ascii="宋体" w:hAnsi="宋体" w:eastAsia="宋体" w:cs="宋体"/>
          <w:sz w:val="24"/>
          <w:szCs w:val="24"/>
        </w:rPr>
        <w:t>　　第六十二条　本准则自</w:t>
      </w:r>
      <w:r>
        <w:rPr>
          <w:rFonts w:hint="eastAsia" w:ascii="宋体" w:hAnsi="宋体" w:eastAsia="宋体" w:cs="宋体"/>
          <w:sz w:val="24"/>
          <w:szCs w:val="24"/>
          <w:lang w:val="en-US"/>
        </w:rPr>
        <w:t>2017</w:t>
      </w:r>
      <w:r>
        <w:rPr>
          <w:rFonts w:hint="eastAsia" w:ascii="宋体" w:hAnsi="宋体" w:eastAsia="宋体" w:cs="宋体"/>
          <w:sz w:val="24"/>
          <w:szCs w:val="24"/>
        </w:rPr>
        <w:t>年</w:t>
      </w:r>
      <w:r>
        <w:rPr>
          <w:rFonts w:hint="eastAsia" w:ascii="宋体" w:hAnsi="宋体" w:eastAsia="宋体" w:cs="宋体"/>
          <w:sz w:val="24"/>
          <w:szCs w:val="24"/>
          <w:lang w:val="en-US"/>
        </w:rPr>
        <w:t>1</w:t>
      </w:r>
      <w:r>
        <w:rPr>
          <w:rFonts w:hint="eastAsia" w:ascii="宋体" w:hAnsi="宋体" w:eastAsia="宋体" w:cs="宋体"/>
          <w:sz w:val="24"/>
          <w:szCs w:val="24"/>
        </w:rPr>
        <w:t>月</w:t>
      </w:r>
      <w:r>
        <w:rPr>
          <w:rFonts w:hint="eastAsia" w:ascii="宋体" w:hAnsi="宋体" w:eastAsia="宋体" w:cs="宋体"/>
          <w:sz w:val="24"/>
          <w:szCs w:val="24"/>
          <w:lang w:val="en-US"/>
        </w:rPr>
        <w:t>1</w:t>
      </w:r>
      <w:r>
        <w:rPr>
          <w:rFonts w:hint="eastAsia" w:ascii="宋体" w:hAnsi="宋体" w:eastAsia="宋体" w:cs="宋体"/>
          <w:sz w:val="24"/>
          <w:szCs w:val="24"/>
        </w:rPr>
        <w:t>日起施行。</w:t>
      </w:r>
    </w:p>
    <w:p>
      <w:pPr>
        <w:keepNext w:val="0"/>
        <w:keepLines w:val="0"/>
        <w:pageBreakBefore w:val="0"/>
        <w:kinsoku/>
        <w:wordWrap/>
        <w:overflowPunct/>
        <w:topLinePunct w:val="0"/>
        <w:autoSpaceDE/>
        <w:autoSpaceDN/>
        <w:bidi w:val="0"/>
        <w:adjustRightInd/>
        <w:spacing w:beforeAutospacing="0" w:afterAutospacing="0" w:line="500" w:lineRule="exact"/>
        <w:jc w:val="both"/>
        <w:textAlignment w:val="auto"/>
        <w:outlineLvl w:val="9"/>
        <w:rPr>
          <w:rFonts w:hint="eastAsia" w:ascii="宋体" w:hAnsi="宋体" w:eastAsia="宋体" w:cs="宋体"/>
          <w:b/>
          <w:color w:val="185895"/>
          <w:sz w:val="36"/>
          <w:szCs w:val="36"/>
          <w:lang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9264" behindDoc="1" locked="0" layoutInCell="1" allowOverlap="1">
          <wp:simplePos x="0" y="0"/>
          <wp:positionH relativeFrom="column">
            <wp:posOffset>4438650</wp:posOffset>
          </wp:positionH>
          <wp:positionV relativeFrom="paragraph">
            <wp:posOffset>-341630</wp:posOffset>
          </wp:positionV>
          <wp:extent cx="818515" cy="818515"/>
          <wp:effectExtent l="0" t="0" r="635" b="635"/>
          <wp:wrapNone/>
          <wp:docPr id="4"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5366385</wp:posOffset>
              </wp:positionH>
              <wp:positionV relativeFrom="paragraph">
                <wp:posOffset>-94615</wp:posOffset>
              </wp:positionV>
              <wp:extent cx="28575" cy="0"/>
              <wp:effectExtent l="0" t="0" r="0" b="0"/>
              <wp:wrapNone/>
              <wp:docPr id="2" name="直接连接符 2"/>
              <wp:cNvGraphicFramePr/>
              <a:graphic xmlns:a="http://schemas.openxmlformats.org/drawingml/2006/main">
                <a:graphicData uri="http://schemas.microsoft.com/office/word/2010/wordprocessingShape">
                  <wps:wsp>
                    <wps:cNvCnPr/>
                    <wps:spPr>
                      <a:xfrm>
                        <a:off x="6509385" y="458470"/>
                        <a:ext cx="285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422.55pt;margin-top:-7.45pt;height:0pt;width:2.25pt;z-index:251661312;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8c/W2QAAAAsBAAAP&#10;AAAAAAAAAAEAIAAAACIAAABkcnMvZG93bnJldi54bWxQSwECFAAUAAAACACHTuJA9YyMyt4BAAB6&#10;AwAADgAAAAAAAAABACAAAAAoAQAAZHJzL2Uyb0RvYy54bWxQSwUGAAAAAAYABgBZAQAAeAUAAAAA&#10;">
              <v:fill on="f" focussize="0,0"/>
              <v:stroke weight="0.5pt" color="#5B9BD5" miterlimit="8" joinstyle="miter"/>
              <v:imagedata o:title=""/>
              <o:lock v:ext="edit" aspectratio="f"/>
            </v:line>
          </w:pict>
        </mc:Fallback>
      </mc:AlternateConten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8"/>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3"/>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sz w:val="24"/>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15240</wp:posOffset>
              </wp:positionV>
              <wp:extent cx="5257165" cy="7620"/>
              <wp:effectExtent l="0" t="0" r="0" b="0"/>
              <wp:wrapNone/>
              <wp:docPr id="3" name="直接连接符 3"/>
              <wp:cNvGraphicFramePr/>
              <a:graphic xmlns:a="http://schemas.openxmlformats.org/drawingml/2006/main">
                <a:graphicData uri="http://schemas.microsoft.com/office/word/2010/wordprocessingShape">
                  <wps:wsp>
                    <wps:cNvCnPr/>
                    <wps:spPr>
                      <a:xfrm flipV="1">
                        <a:off x="937895" y="925195"/>
                        <a:ext cx="5257165" cy="7620"/>
                      </a:xfrm>
                      <a:prstGeom prst="line">
                        <a:avLst/>
                      </a:prstGeom>
                      <a:noFill/>
                      <a:ln w="1587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7pt;margin-top:1.2pt;height:0.6pt;width:413.95pt;z-index:251662336;mso-width-relative:page;mso-height-relative:page;" filled="f" stroked="t" coordsize="21600,21600" o:gfxdata="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yoHAtUAAAAFAQAA&#10;DwAAAAAAAAABACAAAAAiAAAAZHJzL2Rvd25yZXYueG1sUEsBAhQAFAAAAAgAh07iQO/sjT/jAQAA&#10;iQMAAA4AAAAAAAAAAQAgAAAAJAEAAGRycy9lMm9Eb2MueG1sUEsFBgAAAAAGAAYAWQEAAHkFAAAA&#10;AA==&#10;">
              <v:fill on="f" focussize="0,0"/>
              <v:stroke weight="1.25pt" color="#000000" miterlimit="8" joinstyle="miter"/>
              <v:imagedata o:title=""/>
              <o:lock v:ext="edit" aspectratio="f"/>
            </v:line>
          </w:pict>
        </mc:Fallback>
      </mc:AlternateContent>
    </w: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44E39"/>
    <w:rsid w:val="11A05BE7"/>
    <w:rsid w:val="14C3454A"/>
    <w:rsid w:val="404C14FB"/>
    <w:rsid w:val="48DF2893"/>
    <w:rsid w:val="49DA60BA"/>
    <w:rsid w:val="50D143C1"/>
    <w:rsid w:val="60044E39"/>
    <w:rsid w:val="676A2407"/>
    <w:rsid w:val="759F41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sz w:val="18"/>
      <w:szCs w:val="18"/>
      <w:u w:val="none"/>
    </w:rPr>
  </w:style>
  <w:style w:type="character" w:styleId="8">
    <w:name w:val="Hyperlink"/>
    <w:basedOn w:val="5"/>
    <w:uiPriority w:val="0"/>
    <w:rPr>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2018-12-09T02:00:00Z</dcterms:created>
  <dc:creator>pc</dc:creator>
  <cp:lastModifiedBy>pc</cp:lastModifiedBy>
  <dcterms:modified xsi:type="dcterms:W3CDTF">2018-12-09T09:17:58Z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